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BA3B4D9" w:rsidR="007A5B38" w:rsidRPr="00BC34FB" w:rsidRDefault="007A5B38" w:rsidP="007A5B38">
      <w:pPr>
        <w:pStyle w:val="3GPPHeader"/>
        <w:rPr>
          <w:highlight w:val="yellow"/>
          <w:lang w:val="en-US"/>
        </w:rPr>
      </w:pPr>
      <w:bookmarkStart w:id="0" w:name="_Hlk489988649"/>
      <w:bookmarkEnd w:id="0"/>
      <w:r w:rsidRPr="00BC34FB">
        <w:rPr>
          <w:lang w:val="en-US"/>
        </w:rPr>
        <w:t xml:space="preserve">3GPP TSG-RAN WG1 </w:t>
      </w:r>
      <w:r w:rsidR="001642D1" w:rsidRPr="00BC34FB">
        <w:rPr>
          <w:lang w:val="en-US"/>
        </w:rPr>
        <w:t>#91</w:t>
      </w:r>
      <w:r w:rsidRPr="00BC34FB">
        <w:rPr>
          <w:lang w:val="en-US"/>
        </w:rPr>
        <w:tab/>
      </w:r>
      <w:r w:rsidR="00FB607E" w:rsidRPr="00BC34FB">
        <w:rPr>
          <w:lang w:val="en-US"/>
        </w:rPr>
        <w:t>R1-1720734</w:t>
      </w:r>
    </w:p>
    <w:p w14:paraId="161050DA" w14:textId="032D3C6F" w:rsidR="007A5B38" w:rsidRPr="007679B0" w:rsidRDefault="001642D1" w:rsidP="007A5B38">
      <w:pPr>
        <w:pStyle w:val="3GPPHeader"/>
        <w:rPr>
          <w:lang w:val="en-US"/>
        </w:rPr>
      </w:pPr>
      <w:r w:rsidRPr="001642D1">
        <w:rPr>
          <w:lang w:val="en-US"/>
        </w:rPr>
        <w:t>Reno, USA, November 27</w:t>
      </w:r>
      <w:r w:rsidRPr="0050489F">
        <w:rPr>
          <w:vertAlign w:val="superscript"/>
          <w:lang w:val="en-US"/>
        </w:rPr>
        <w:t>th</w:t>
      </w:r>
      <w:r w:rsidR="0050489F">
        <w:rPr>
          <w:lang w:val="en-US"/>
        </w:rPr>
        <w:t xml:space="preserve"> </w:t>
      </w:r>
      <w:r w:rsidRPr="001642D1">
        <w:rPr>
          <w:lang w:val="en-US"/>
        </w:rPr>
        <w:t>– December 1</w:t>
      </w:r>
      <w:r w:rsidRPr="0050489F">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42DE5AD" w:rsidR="00E90E49" w:rsidRPr="00327997" w:rsidRDefault="003D3C45" w:rsidP="00327997">
      <w:pPr>
        <w:pStyle w:val="3GPPHeader"/>
      </w:pPr>
      <w:r w:rsidRPr="00327997">
        <w:t>Title:</w:t>
      </w:r>
      <w:r w:rsidR="00E90E49" w:rsidRPr="00327997">
        <w:tab/>
      </w:r>
      <w:r w:rsidR="00FD02F0">
        <w:t>On remaining details of CSI reporting</w:t>
      </w:r>
    </w:p>
    <w:p w14:paraId="2D554DE3" w14:textId="20D2E80B" w:rsidR="00952A24" w:rsidRPr="00327997" w:rsidRDefault="00952A24" w:rsidP="00327997">
      <w:pPr>
        <w:pStyle w:val="3GPPHeader"/>
      </w:pPr>
      <w:r w:rsidRPr="00327997">
        <w:t>Agenda Item:</w:t>
      </w:r>
      <w:r w:rsidRPr="00327997">
        <w:tab/>
      </w:r>
      <w:r w:rsidR="00FD02F0">
        <w:t>7.2.2.2</w:t>
      </w:r>
    </w:p>
    <w:p w14:paraId="3C99C89E" w14:textId="7CBEAFFD"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A72759F" w14:textId="329FC994" w:rsidR="00FD02F0" w:rsidRDefault="00FD02F0" w:rsidP="00E5689D">
      <w:pPr>
        <w:pStyle w:val="3GPPHeader"/>
      </w:pPr>
    </w:p>
    <w:p w14:paraId="56F786DC" w14:textId="77777777" w:rsidR="00940B78" w:rsidRPr="00CE0424" w:rsidRDefault="00940B78" w:rsidP="00E5689D">
      <w:pPr>
        <w:pStyle w:val="3GPPHeader"/>
      </w:pPr>
    </w:p>
    <w:p w14:paraId="72B2365A" w14:textId="77777777" w:rsidR="00E90E49" w:rsidRPr="00CE0424" w:rsidRDefault="007F75D5" w:rsidP="00CE0424">
      <w:pPr>
        <w:pStyle w:val="Heading1"/>
      </w:pPr>
      <w:r>
        <w:t>Introduction</w:t>
      </w:r>
    </w:p>
    <w:p w14:paraId="39DC1C8C" w14:textId="1D1736E9" w:rsidR="00BF7642" w:rsidRDefault="001642D1" w:rsidP="00BF7642">
      <w:pPr>
        <w:pStyle w:val="BodyText"/>
      </w:pPr>
      <w:r>
        <w:t>In RAN1 #90bis</w:t>
      </w:r>
      <w:r w:rsidR="00BF7642">
        <w:t xml:space="preserve">, </w:t>
      </w:r>
      <w:r w:rsidR="00FD02F0">
        <w:t xml:space="preserve">a number of agreements were made regarding CSI reporting. </w:t>
      </w:r>
      <w:r w:rsidR="00016193">
        <w:t>However, there are still a number of open issues left, which we discuss in this contribution.</w:t>
      </w:r>
    </w:p>
    <w:p w14:paraId="1EA2444A" w14:textId="19C1E202" w:rsidR="00016193" w:rsidRDefault="00016193" w:rsidP="00016193">
      <w:pPr>
        <w:pStyle w:val="Heading1"/>
      </w:pPr>
      <w:r>
        <w:t>Remaining details of CSI omission</w:t>
      </w:r>
    </w:p>
    <w:p w14:paraId="3E0818B4" w14:textId="06472E38" w:rsidR="00016193" w:rsidRPr="00016193" w:rsidRDefault="00016193" w:rsidP="00016193">
      <w:r>
        <w:t>In RAN1#90bis, the priority rule for omission of information bits of Part 2 CSI report on PUSCH was agreed:</w:t>
      </w:r>
    </w:p>
    <w:p w14:paraId="32157FC7" w14:textId="55F586B5" w:rsidR="00016193" w:rsidRPr="004A7742" w:rsidRDefault="00016193" w:rsidP="00016193">
      <w:pPr>
        <w:rPr>
          <w:b/>
          <w:lang w:eastAsia="x-none"/>
        </w:rPr>
      </w:pPr>
      <w:r w:rsidRPr="002A3BD6">
        <w:rPr>
          <w:b/>
          <w:highlight w:val="green"/>
          <w:lang w:eastAsia="x-none"/>
        </w:rPr>
        <w:t>Agreement:</w:t>
      </w:r>
    </w:p>
    <w:p w14:paraId="7DD3C7B6" w14:textId="77777777" w:rsidR="00016193" w:rsidRPr="00865809" w:rsidRDefault="00016193" w:rsidP="00016193">
      <w:pPr>
        <w:rPr>
          <w:lang w:val="en-US" w:eastAsia="x-none"/>
        </w:rPr>
      </w:pPr>
      <w:r w:rsidRPr="00865809">
        <w:rPr>
          <w:lang w:val="en-US" w:eastAsia="x-none"/>
        </w:rPr>
        <w:t xml:space="preserve">For NR CSI reporting on PUSCH, Part 2 information bits of partial subbands can be omitted.  </w:t>
      </w:r>
    </w:p>
    <w:p w14:paraId="40A189D4" w14:textId="77777777" w:rsidR="00016193" w:rsidRPr="00865809" w:rsidRDefault="00016193" w:rsidP="00016193">
      <w:pPr>
        <w:numPr>
          <w:ilvl w:val="1"/>
          <w:numId w:val="17"/>
        </w:numPr>
        <w:overflowPunct/>
        <w:autoSpaceDE/>
        <w:autoSpaceDN/>
        <w:adjustRightInd/>
        <w:spacing w:after="0"/>
        <w:jc w:val="left"/>
        <w:textAlignment w:val="auto"/>
        <w:rPr>
          <w:lang w:val="en-US" w:eastAsia="x-none"/>
        </w:rPr>
      </w:pPr>
      <w:r w:rsidRPr="00865809">
        <w:rPr>
          <w:lang w:val="en-US" w:eastAsia="x-none"/>
        </w:rPr>
        <w:t>Support the following priority rule to omit partial Part 2, where the priority level goes from high to low from Box #0 to Box #2N, and the omission granularity is one box in the following picture</w:t>
      </w:r>
    </w:p>
    <w:p w14:paraId="10315579" w14:textId="77777777" w:rsidR="00016193" w:rsidRPr="00865809" w:rsidRDefault="00016193" w:rsidP="00016193">
      <w:pPr>
        <w:numPr>
          <w:ilvl w:val="2"/>
          <w:numId w:val="17"/>
        </w:numPr>
        <w:overflowPunct/>
        <w:autoSpaceDE/>
        <w:autoSpaceDN/>
        <w:adjustRightInd/>
        <w:spacing w:after="0"/>
        <w:jc w:val="left"/>
        <w:textAlignment w:val="auto"/>
        <w:rPr>
          <w:lang w:val="en-US" w:eastAsia="x-none"/>
        </w:rPr>
      </w:pPr>
      <w:r w:rsidRPr="00865809">
        <w:rPr>
          <w:lang w:val="en-US" w:eastAsia="x-none"/>
        </w:rPr>
        <w:t>N is the number of CSI reports in one slot</w:t>
      </w:r>
    </w:p>
    <w:p w14:paraId="4FA8B30F" w14:textId="77777777" w:rsidR="00016193" w:rsidRPr="00865809" w:rsidRDefault="00016193" w:rsidP="00016193">
      <w:pPr>
        <w:numPr>
          <w:ilvl w:val="2"/>
          <w:numId w:val="17"/>
        </w:numPr>
        <w:overflowPunct/>
        <w:autoSpaceDE/>
        <w:autoSpaceDN/>
        <w:adjustRightInd/>
        <w:spacing w:after="0"/>
        <w:jc w:val="left"/>
        <w:textAlignment w:val="auto"/>
        <w:rPr>
          <w:lang w:val="en-US" w:eastAsia="x-none"/>
        </w:rPr>
      </w:pPr>
      <w:r w:rsidRPr="00865809">
        <w:rPr>
          <w:lang w:val="en-US" w:eastAsia="x-none"/>
        </w:rPr>
        <w:t>The CSI report numbers correspond to the order in the CSI report configuration</w:t>
      </w:r>
    </w:p>
    <w:p w14:paraId="15EA37D2" w14:textId="77777777" w:rsidR="00016193" w:rsidRPr="004A7742" w:rsidRDefault="00016193" w:rsidP="00016193">
      <w:pPr>
        <w:spacing w:before="120"/>
        <w:jc w:val="center"/>
        <w:rPr>
          <w:sz w:val="22"/>
          <w:lang w:val="en-US" w:eastAsia="x-none"/>
        </w:rPr>
      </w:pPr>
      <w:r w:rsidRPr="00102F47">
        <w:rPr>
          <w:noProof/>
          <w:lang w:val="en-CA" w:eastAsia="en-CA"/>
        </w:rPr>
        <w:drawing>
          <wp:inline distT="0" distB="0" distL="0" distR="0" wp14:anchorId="76FE9AF9" wp14:editId="208C4223">
            <wp:extent cx="5062220" cy="10388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2220" cy="1038860"/>
                    </a:xfrm>
                    <a:prstGeom prst="rect">
                      <a:avLst/>
                    </a:prstGeom>
                    <a:noFill/>
                    <a:ln>
                      <a:noFill/>
                    </a:ln>
                  </pic:spPr>
                </pic:pic>
              </a:graphicData>
            </a:graphic>
          </wp:inline>
        </w:drawing>
      </w:r>
    </w:p>
    <w:p w14:paraId="556C1FF2" w14:textId="77777777" w:rsidR="00016193" w:rsidRPr="00FD02F0" w:rsidRDefault="00016193" w:rsidP="00016193">
      <w:pPr>
        <w:numPr>
          <w:ilvl w:val="1"/>
          <w:numId w:val="17"/>
        </w:numPr>
        <w:overflowPunct/>
        <w:autoSpaceDE/>
        <w:autoSpaceDN/>
        <w:adjustRightInd/>
        <w:spacing w:after="0"/>
        <w:jc w:val="left"/>
        <w:textAlignment w:val="auto"/>
        <w:rPr>
          <w:highlight w:val="yellow"/>
          <w:lang w:val="en-US" w:eastAsia="x-none"/>
        </w:rPr>
      </w:pPr>
      <w:r w:rsidRPr="00FD02F0">
        <w:rPr>
          <w:highlight w:val="yellow"/>
          <w:lang w:val="en-US" w:eastAsia="x-none"/>
        </w:rPr>
        <w:t>Down-select one of the following Alts for CQI calculation in RAN1#91</w:t>
      </w:r>
    </w:p>
    <w:p w14:paraId="30126AA5" w14:textId="77777777" w:rsidR="00016193" w:rsidRPr="00FD02F0" w:rsidRDefault="00016193" w:rsidP="00016193">
      <w:pPr>
        <w:numPr>
          <w:ilvl w:val="2"/>
          <w:numId w:val="17"/>
        </w:numPr>
        <w:overflowPunct/>
        <w:autoSpaceDE/>
        <w:autoSpaceDN/>
        <w:adjustRightInd/>
        <w:spacing w:after="0"/>
        <w:jc w:val="left"/>
        <w:textAlignment w:val="auto"/>
        <w:rPr>
          <w:highlight w:val="yellow"/>
          <w:lang w:val="en-US" w:eastAsia="x-none"/>
        </w:rPr>
      </w:pPr>
      <w:r w:rsidRPr="00FD02F0">
        <w:rPr>
          <w:highlight w:val="yellow"/>
          <w:lang w:val="en-US" w:eastAsia="x-none"/>
        </w:rPr>
        <w:t>Alt 1: Subband CQI for each omitted subband is calculated assuming PMI in the nearest subband(s) with Part 2 reporting</w:t>
      </w:r>
    </w:p>
    <w:p w14:paraId="4D920CB7" w14:textId="77777777" w:rsidR="00016193" w:rsidRPr="00FD02F0" w:rsidRDefault="00016193" w:rsidP="00016193">
      <w:pPr>
        <w:numPr>
          <w:ilvl w:val="2"/>
          <w:numId w:val="17"/>
        </w:numPr>
        <w:overflowPunct/>
        <w:autoSpaceDE/>
        <w:autoSpaceDN/>
        <w:adjustRightInd/>
        <w:spacing w:after="0"/>
        <w:jc w:val="left"/>
        <w:textAlignment w:val="auto"/>
        <w:rPr>
          <w:highlight w:val="yellow"/>
          <w:lang w:val="en-US" w:eastAsia="x-none"/>
        </w:rPr>
      </w:pPr>
      <w:r w:rsidRPr="00FD02F0">
        <w:rPr>
          <w:highlight w:val="yellow"/>
          <w:lang w:val="en-US" w:eastAsia="x-none"/>
        </w:rPr>
        <w:t>Alt 2: Subband CQI for each omitted subband is calculated assuming PMI in this subband</w:t>
      </w:r>
    </w:p>
    <w:p w14:paraId="02A8CD24" w14:textId="77777777" w:rsidR="00016193" w:rsidRDefault="00016193" w:rsidP="00BF7642">
      <w:pPr>
        <w:pStyle w:val="BodyText"/>
        <w:rPr>
          <w:lang w:val="en-US"/>
        </w:rPr>
      </w:pPr>
    </w:p>
    <w:p w14:paraId="718AB858" w14:textId="0733C696" w:rsidR="00632B1D" w:rsidRDefault="00016193" w:rsidP="00632B1D">
      <w:pPr>
        <w:pStyle w:val="BodyText"/>
        <w:rPr>
          <w:lang w:val="en-US"/>
        </w:rPr>
      </w:pPr>
      <w:r>
        <w:rPr>
          <w:lang w:val="en-US"/>
        </w:rPr>
        <w:t xml:space="preserve">The remaining issue is if subband CQI, which is contained in CSI Part 2, should be calculated conditioned on if the corresponding subband PMI in CSI Part 2 is omitted or not. In our view, this unnecessarily complicates the specification and corresponding UE behavior. The CSI omission mechanism was introduced to define the behavior and mitigate the CSI impairment when the PUSCH resource allocation for CSI report is too small to fit the UCI payload. </w:t>
      </w:r>
      <w:r w:rsidR="00632B1D">
        <w:rPr>
          <w:lang w:val="en-US"/>
        </w:rPr>
        <w:t xml:space="preserve">This can happen for Type II CSI reporting when the gNB allocates PUSCH RA for CSI report assuming UE selects rank-1, but it actually selects rank-2. </w:t>
      </w:r>
      <w:r>
        <w:rPr>
          <w:lang w:val="en-US"/>
        </w:rPr>
        <w:t>By ensuring the</w:t>
      </w:r>
      <w:r w:rsidR="00632B1D">
        <w:rPr>
          <w:lang w:val="en-US"/>
        </w:rPr>
        <w:t xml:space="preserve"> CSI Part 1 and the WB PMI comprised in CSI Part 2 has higher priority over SB PMI, for all CSI reports, the RI and number of non-zero WB amplitude coefficients can be received by the gNB which may then allocate large PUSCH resource for the subsequent CSI report. </w:t>
      </w:r>
    </w:p>
    <w:p w14:paraId="6856300C" w14:textId="5216B43C" w:rsidR="00632B1D" w:rsidRDefault="00632B1D" w:rsidP="00632B1D">
      <w:pPr>
        <w:pStyle w:val="BodyText"/>
        <w:rPr>
          <w:lang w:val="en-US"/>
        </w:rPr>
      </w:pPr>
      <w:r>
        <w:rPr>
          <w:lang w:val="en-US"/>
        </w:rPr>
        <w:t xml:space="preserve">As RA error only happens when the UE transitions from lower to higher rank, which is typically done on a rather slow basis, the RA error will be infrequent. Thus, an optimization of the CQI determination procedure for this case seems unwarranted. </w:t>
      </w:r>
    </w:p>
    <w:p w14:paraId="4C0D41A1" w14:textId="0DB1AFFB" w:rsidR="00632B1D" w:rsidRDefault="00632B1D" w:rsidP="00632B1D">
      <w:pPr>
        <w:pStyle w:val="Observation"/>
        <w:rPr>
          <w:lang w:val="en-US"/>
        </w:rPr>
      </w:pPr>
      <w:bookmarkStart w:id="1" w:name="_Toc498726064"/>
      <w:r>
        <w:rPr>
          <w:lang w:val="en-US"/>
        </w:rPr>
        <w:t>CSI omission procedure will likely have to be invoked rather infrequently for proper gNB implementations</w:t>
      </w:r>
      <w:bookmarkEnd w:id="1"/>
    </w:p>
    <w:p w14:paraId="1B58B0FC" w14:textId="09610182" w:rsidR="00632B1D" w:rsidRDefault="000B3A3A" w:rsidP="0018723E">
      <w:pPr>
        <w:pStyle w:val="BodyText"/>
        <w:rPr>
          <w:lang w:val="en-US"/>
        </w:rPr>
      </w:pPr>
      <w:r>
        <w:rPr>
          <w:lang w:val="en-US"/>
        </w:rPr>
        <w:lastRenderedPageBreak/>
        <w:t>The motivation for Alt 1 is that if the CQI for a subband where the subband PMI has been omitted is calculated conditioned on the omitted PMI, that CQI is useless for the gNB as it does not know what precoding was used to calculate the CQI. By calculating the CQI based on the neighbor subbands PMI, the CQI could more accurately reflect the precoding that will be used on that subband by the gNB. However, this makes an assumption in the specification on how the gNB may choose to precode on the “omitted subbands”, which is generally not know. The gNB could for instance use the PMI of the adjacent subband with either higher or lower subband index, or more likely, performs some interpolation of the PMI across the subbands. However, there are many ways to perform such interpolation, and different methods may result in different SINRs. It is therefore not clear that defining a CQI determination rule in specification for omitted subbands for a certain assumption on precoding can bring any benefit.</w:t>
      </w:r>
      <w:r w:rsidR="00505213">
        <w:rPr>
          <w:lang w:val="en-US"/>
        </w:rPr>
        <w:t xml:space="preserve"> Thus, Alt 2 is preferred.</w:t>
      </w:r>
    </w:p>
    <w:p w14:paraId="69839C7C" w14:textId="437D955B" w:rsidR="00505213" w:rsidRDefault="00505213" w:rsidP="00505213">
      <w:pPr>
        <w:pStyle w:val="Proposal"/>
        <w:rPr>
          <w:lang w:val="en-US"/>
        </w:rPr>
      </w:pPr>
      <w:bookmarkStart w:id="2" w:name="_Toc498726095"/>
      <w:r>
        <w:rPr>
          <w:lang w:val="en-US"/>
        </w:rPr>
        <w:t>For PUSCH CSI reports where partial subband PMI have been omitted, subband CQI is determined according to existing procedure</w:t>
      </w:r>
      <w:bookmarkEnd w:id="2"/>
    </w:p>
    <w:p w14:paraId="43D79DE6" w14:textId="427AF371" w:rsidR="00167679" w:rsidRDefault="00167679" w:rsidP="00167679">
      <w:pPr>
        <w:pStyle w:val="Proposal"/>
        <w:numPr>
          <w:ilvl w:val="0"/>
          <w:numId w:val="0"/>
        </w:numPr>
        <w:rPr>
          <w:lang w:val="en-US"/>
        </w:rPr>
      </w:pPr>
    </w:p>
    <w:p w14:paraId="01DA022F" w14:textId="2EF090D3" w:rsidR="00167679" w:rsidRDefault="00D72D76" w:rsidP="00167679">
      <w:pPr>
        <w:pStyle w:val="Heading1"/>
        <w:rPr>
          <w:lang w:val="en-US"/>
        </w:rPr>
      </w:pPr>
      <w:r>
        <w:rPr>
          <w:lang w:val="en-US"/>
        </w:rPr>
        <w:t>Remaining details on CBSR</w:t>
      </w:r>
    </w:p>
    <w:p w14:paraId="6EBF61A1" w14:textId="65A164E5" w:rsidR="00016193" w:rsidRPr="00FD02F0" w:rsidRDefault="00D72D76" w:rsidP="00D72D76">
      <w:pPr>
        <w:rPr>
          <w:lang w:val="en-US"/>
        </w:rPr>
      </w:pPr>
      <w:r>
        <w:rPr>
          <w:lang w:val="en-US"/>
        </w:rPr>
        <w:t>In RAN1#90bis, codebook subset restriction details for Type I codebook was finalized, except for a remining FFS point on inter-group co-phasing restriction:</w:t>
      </w:r>
    </w:p>
    <w:p w14:paraId="6FCAF90E" w14:textId="6CC94996" w:rsidR="00FD02F0" w:rsidRPr="002A3BD6" w:rsidRDefault="00FD02F0" w:rsidP="00FD02F0">
      <w:pPr>
        <w:rPr>
          <w:b/>
          <w:lang w:eastAsia="x-none"/>
        </w:rPr>
      </w:pPr>
      <w:r w:rsidRPr="001F3339">
        <w:rPr>
          <w:b/>
          <w:highlight w:val="green"/>
          <w:lang w:eastAsia="x-none"/>
        </w:rPr>
        <w:t>Agreement:</w:t>
      </w:r>
    </w:p>
    <w:p w14:paraId="58C17902" w14:textId="77777777" w:rsidR="00FD02F0" w:rsidRPr="00014F5E" w:rsidRDefault="00FD02F0" w:rsidP="00FD02F0">
      <w:pPr>
        <w:numPr>
          <w:ilvl w:val="0"/>
          <w:numId w:val="23"/>
        </w:numPr>
        <w:overflowPunct/>
        <w:autoSpaceDE/>
        <w:autoSpaceDN/>
        <w:adjustRightInd/>
        <w:spacing w:after="0"/>
        <w:jc w:val="left"/>
        <w:textAlignment w:val="auto"/>
        <w:rPr>
          <w:lang w:val="en-US" w:eastAsia="x-none"/>
        </w:rPr>
      </w:pPr>
      <w:r w:rsidRPr="00014F5E">
        <w:rPr>
          <w:lang w:val="en-US" w:eastAsia="x-none"/>
        </w:rPr>
        <w:t>For Type I SP, rank 3-4 codebooks for 16, 24, and 32 ports</w:t>
      </w:r>
    </w:p>
    <w:p w14:paraId="114C235C" w14:textId="10AC87B9" w:rsidR="00FD02F0" w:rsidRPr="002E12BA" w:rsidRDefault="00FD02F0" w:rsidP="00FD02F0">
      <w:pPr>
        <w:pStyle w:val="RAN1bullet1"/>
        <w:rPr>
          <w:szCs w:val="20"/>
          <w:lang w:val="en-US"/>
        </w:rPr>
      </w:pPr>
      <w:r w:rsidRPr="002E12BA">
        <w:rPr>
          <w:szCs w:val="20"/>
          <w:lang w:val="en-US"/>
        </w:rPr>
        <w:t xml:space="preserve">Use single bitfield to determine restricted </w:t>
      </w:r>
      <m:oMath>
        <m:sSub>
          <m:sSubPr>
            <m:ctrlPr>
              <w:rPr>
                <w:rFonts w:ascii="Cambria Math" w:eastAsia="SimSun" w:hAnsi="Cambria Math"/>
                <w:i/>
                <w:iCs/>
                <w:color w:val="000000"/>
                <w:kern w:val="24"/>
                <w:szCs w:val="20"/>
                <w:lang w:val="en-US" w:eastAsia="ko-KR"/>
              </w:rPr>
            </m:ctrlPr>
          </m:sSubPr>
          <m:e>
            <m:acc>
              <m:accPr>
                <m:chr m:val="̃"/>
                <m:ctrlPr>
                  <w:rPr>
                    <w:rFonts w:ascii="Cambria Math" w:eastAsia="SimSun" w:hAnsi="Cambria Math"/>
                    <w:i/>
                    <w:iCs/>
                    <w:color w:val="000000"/>
                    <w:kern w:val="24"/>
                    <w:szCs w:val="20"/>
                    <w:lang w:val="en-US" w:eastAsia="ko-KR"/>
                  </w:rPr>
                </m:ctrlPr>
              </m:accPr>
              <m:e>
                <m:r>
                  <w:rPr>
                    <w:rFonts w:ascii="Cambria Math" w:eastAsia="SimSun" w:hAnsi="Cambria Math"/>
                    <w:color w:val="000000"/>
                    <w:kern w:val="24"/>
                    <w:szCs w:val="20"/>
                    <w:lang w:val="en-US" w:eastAsia="ko-KR"/>
                  </w:rPr>
                  <m:t>v</m:t>
                </m:r>
              </m:e>
            </m:acc>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2</m:t>
                </m:r>
              </m:sub>
            </m:sSub>
            <m:r>
              <w:rPr>
                <w:rFonts w:ascii="Cambria Math" w:eastAsia="SimSun" w:hAnsi="Cambria Math"/>
                <w:color w:val="000000"/>
                <w:kern w:val="24"/>
                <w:szCs w:val="20"/>
                <w:lang w:val="en-US" w:eastAsia="ko-KR"/>
              </w:rPr>
              <m:t>,m</m:t>
            </m:r>
          </m:sub>
        </m:sSub>
      </m:oMath>
      <w:r w:rsidRPr="002E12BA">
        <w:rPr>
          <w:szCs w:val="20"/>
          <w:lang w:val="en-US"/>
        </w:rPr>
        <w:t xml:space="preserve"> depending on restricted </w:t>
      </w:r>
      <m:oMath>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v</m:t>
            </m:r>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1</m:t>
                </m:r>
              </m:sub>
            </m:sSub>
            <m:r>
              <w:rPr>
                <w:rFonts w:ascii="Cambria Math" w:eastAsia="SimSun" w:hAnsi="Cambria Math"/>
                <w:color w:val="000000"/>
                <w:kern w:val="24"/>
                <w:szCs w:val="20"/>
                <w:lang w:val="en-US" w:eastAsia="ko-KR"/>
              </w:rPr>
              <m:t>,m</m:t>
            </m:r>
          </m:sub>
        </m:sSub>
      </m:oMath>
    </w:p>
    <w:p w14:paraId="30F54DE6" w14:textId="15EC1B3B" w:rsidR="00FD02F0" w:rsidRPr="002E12BA" w:rsidRDefault="00F55BCC" w:rsidP="00FD02F0">
      <w:pPr>
        <w:pStyle w:val="RAN1bullet2"/>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00FD02F0"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00FD02F0" w:rsidRPr="002E12BA">
        <w:t xml:space="preserve"> is restricted</w:t>
      </w:r>
    </w:p>
    <w:p w14:paraId="4DBA435A" w14:textId="77777777" w:rsidR="00FD02F0" w:rsidRPr="00FD02F0" w:rsidRDefault="00FD02F0" w:rsidP="00FD02F0">
      <w:pPr>
        <w:pStyle w:val="RAN1bullet3"/>
        <w:rPr>
          <w:highlight w:val="yellow"/>
        </w:rPr>
      </w:pPr>
      <w:r w:rsidRPr="00FD02F0">
        <w:rPr>
          <w:highlight w:val="yellow"/>
        </w:rPr>
        <w:t>FFS: Introduction of inter-group co-phasing restriction</w:t>
      </w:r>
    </w:p>
    <w:p w14:paraId="4C3FF875" w14:textId="19336943" w:rsidR="00BF7642" w:rsidRDefault="00BF7642" w:rsidP="002611E7">
      <w:pPr>
        <w:pStyle w:val="BodyText"/>
        <w:rPr>
          <w:lang w:val="en-US"/>
        </w:rPr>
      </w:pPr>
    </w:p>
    <w:p w14:paraId="6459F5B2" w14:textId="6D63DFCE" w:rsidR="00D72D76" w:rsidRDefault="00D72D76" w:rsidP="002611E7">
      <w:pPr>
        <w:pStyle w:val="BodyText"/>
        <w:rPr>
          <w:lang w:val="en-US"/>
        </w:rPr>
      </w:pPr>
      <w:r>
        <w:rPr>
          <w:lang w:val="en-US"/>
        </w:rPr>
        <w:t xml:space="preserve">The inter-group co-phasing fine-tunes the beam direction given by the selected </w:t>
      </w:r>
      <m:oMath>
        <m:sSub>
          <m:sSubPr>
            <m:ctrlPr>
              <w:rPr>
                <w:rFonts w:ascii="Cambria Math" w:eastAsia="SimSun" w:hAnsi="Cambria Math"/>
                <w:i/>
                <w:iCs/>
                <w:color w:val="000000"/>
                <w:kern w:val="24"/>
                <w:lang w:val="en-US" w:eastAsia="ko-KR"/>
              </w:rPr>
            </m:ctrlPr>
          </m:sSubPr>
          <m:e>
            <m:acc>
              <m:accPr>
                <m:chr m:val="̃"/>
                <m:ctrlPr>
                  <w:rPr>
                    <w:rFonts w:ascii="Cambria Math" w:eastAsia="SimSun" w:hAnsi="Cambria Math"/>
                    <w:i/>
                    <w:iCs/>
                    <w:color w:val="000000"/>
                    <w:kern w:val="24"/>
                    <w:lang w:val="en-US" w:eastAsia="ko-KR"/>
                  </w:rPr>
                </m:ctrlPr>
              </m:accPr>
              <m:e>
                <m:r>
                  <w:rPr>
                    <w:rFonts w:ascii="Cambria Math" w:eastAsia="SimSun" w:hAnsi="Cambria Math"/>
                    <w:color w:val="000000"/>
                    <w:kern w:val="24"/>
                    <w:lang w:val="en-US" w:eastAsia="ko-KR"/>
                  </w:rPr>
                  <m:t>v</m:t>
                </m:r>
              </m:e>
            </m:acc>
          </m:e>
          <m:sub>
            <m:sSub>
              <m:sSubPr>
                <m:ctrlPr>
                  <w:rPr>
                    <w:rFonts w:ascii="Cambria Math" w:eastAsia="SimSun" w:hAnsi="Cambria Math"/>
                    <w:i/>
                    <w:iCs/>
                    <w:color w:val="000000"/>
                    <w:kern w:val="24"/>
                    <w:lang w:val="en-US" w:eastAsia="ko-KR"/>
                  </w:rPr>
                </m:ctrlPr>
              </m:sSubPr>
              <m:e>
                <m:r>
                  <w:rPr>
                    <w:rFonts w:ascii="Cambria Math" w:eastAsia="SimSun" w:hAnsi="Cambria Math"/>
                    <w:color w:val="000000"/>
                    <w:kern w:val="24"/>
                    <w:lang w:val="en-US" w:eastAsia="ko-KR"/>
                  </w:rPr>
                  <m:t>l</m:t>
                </m:r>
              </m:e>
              <m:sub>
                <m:r>
                  <w:rPr>
                    <w:rFonts w:ascii="Cambria Math" w:eastAsia="SimSun" w:hAnsi="Cambria Math"/>
                    <w:color w:val="000000"/>
                    <w:kern w:val="24"/>
                    <w:lang w:val="en-US" w:eastAsia="ko-KR"/>
                  </w:rPr>
                  <m:t>2</m:t>
                </m:r>
              </m:sub>
            </m:sSub>
            <m:r>
              <w:rPr>
                <w:rFonts w:ascii="Cambria Math" w:eastAsia="SimSun" w:hAnsi="Cambria Math"/>
                <w:color w:val="000000"/>
                <w:kern w:val="24"/>
                <w:lang w:val="en-US" w:eastAsia="ko-KR"/>
              </w:rPr>
              <m:t>,m</m:t>
            </m:r>
          </m:sub>
        </m:sSub>
      </m:oMath>
      <w:r>
        <w:rPr>
          <w:iCs/>
          <w:color w:val="000000"/>
          <w:kern w:val="24"/>
          <w:lang w:val="en-US" w:eastAsia="ko-KR"/>
        </w:rPr>
        <w:t xml:space="preserve"> and </w:t>
      </w:r>
      <w:r w:rsidR="00423F6B">
        <w:rPr>
          <w:iCs/>
          <w:color w:val="000000"/>
          <w:kern w:val="24"/>
          <w:lang w:val="en-US" w:eastAsia="ko-KR"/>
        </w:rPr>
        <w:t>it</w:t>
      </w:r>
      <w:r>
        <w:rPr>
          <w:iCs/>
          <w:color w:val="000000"/>
          <w:kern w:val="24"/>
          <w:lang w:val="en-US" w:eastAsia="ko-KR"/>
        </w:rPr>
        <w:t xml:space="preserve"> does not impact the main beam direction significantly. </w:t>
      </w:r>
      <w:r w:rsidR="00423F6B">
        <w:rPr>
          <w:lang w:val="en-US"/>
        </w:rPr>
        <w:t>We thus see no need for introducing a CBSR for the co-phasing parameter, as there seems to be no practical use case.</w:t>
      </w:r>
    </w:p>
    <w:p w14:paraId="2B8DCC03" w14:textId="641120D0" w:rsidR="00423F6B" w:rsidRDefault="00423F6B" w:rsidP="00423F6B">
      <w:pPr>
        <w:pStyle w:val="Proposal"/>
        <w:rPr>
          <w:lang w:val="en-US"/>
        </w:rPr>
      </w:pPr>
      <w:bookmarkStart w:id="3" w:name="_Toc498726096"/>
      <w:r>
        <w:rPr>
          <w:lang w:val="en-US"/>
        </w:rPr>
        <w:t>No additional CBSR for inter-group co-phasing parameters is introduced</w:t>
      </w:r>
      <w:bookmarkEnd w:id="3"/>
    </w:p>
    <w:p w14:paraId="0024C061" w14:textId="1128C40C" w:rsidR="00423F6B" w:rsidRDefault="00423F6B" w:rsidP="00423F6B">
      <w:pPr>
        <w:pStyle w:val="Proposal"/>
        <w:numPr>
          <w:ilvl w:val="0"/>
          <w:numId w:val="0"/>
        </w:numPr>
        <w:ind w:left="1701" w:hanging="1701"/>
        <w:rPr>
          <w:lang w:val="en-US"/>
        </w:rPr>
      </w:pPr>
    </w:p>
    <w:p w14:paraId="63F5B721" w14:textId="547E2FD8" w:rsidR="00423F6B" w:rsidRDefault="00423F6B" w:rsidP="00423F6B">
      <w:pPr>
        <w:pStyle w:val="Heading1"/>
        <w:rPr>
          <w:lang w:val="en-US"/>
        </w:rPr>
      </w:pPr>
      <w:r>
        <w:rPr>
          <w:lang w:val="en-US"/>
        </w:rPr>
        <w:t>CSI reports in scenarios with dynamically changing BWPs</w:t>
      </w:r>
    </w:p>
    <w:p w14:paraId="07FE4E62" w14:textId="410152CF" w:rsidR="00423F6B" w:rsidRDefault="00423F6B" w:rsidP="00423F6B">
      <w:pPr>
        <w:rPr>
          <w:lang w:val="en-US"/>
        </w:rPr>
      </w:pPr>
      <w:r>
        <w:rPr>
          <w:lang w:val="en-US"/>
        </w:rPr>
        <w:t>It has been agreed that the active BWP can be dynamically selected from a set of candidate BWPs with a DCI message. It had further been agreed that the subband sizes, and thus the definition of the CSI reporting band, depends on the BW of the active BWP. Thus, a CSI report setting may be seen as associated with a certain BWP. When a CSI report is aperiodically triggered, it can be assumed that it corresponds to the currently active BWP. However, there are some open issues on how CSI reporting and triggering should work when active BWP can dynamically switch.</w:t>
      </w:r>
      <w:r w:rsidR="007A4356">
        <w:rPr>
          <w:lang w:val="en-US"/>
        </w:rPr>
        <w:t xml:space="preserve"> This was discussed briefly in RAN1#90bis, resulting in the following conclusion:</w:t>
      </w:r>
    </w:p>
    <w:p w14:paraId="3C821C58" w14:textId="77777777" w:rsidR="007A4356" w:rsidRPr="00DA36BF" w:rsidRDefault="007A4356" w:rsidP="007A4356">
      <w:pPr>
        <w:pStyle w:val="ListParagraph"/>
        <w:ind w:left="0"/>
        <w:rPr>
          <w:b/>
          <w:szCs w:val="20"/>
          <w:lang w:eastAsia="zh-CN"/>
        </w:rPr>
      </w:pPr>
      <w:r w:rsidRPr="00DA36BF">
        <w:rPr>
          <w:b/>
          <w:szCs w:val="20"/>
          <w:lang w:eastAsia="zh-CN"/>
        </w:rPr>
        <w:t>Conclusion</w:t>
      </w:r>
      <w:r>
        <w:rPr>
          <w:b/>
          <w:szCs w:val="20"/>
          <w:lang w:eastAsia="zh-CN"/>
        </w:rPr>
        <w:t xml:space="preserve"> #1</w:t>
      </w:r>
      <w:r w:rsidRPr="00DA36BF">
        <w:rPr>
          <w:b/>
          <w:szCs w:val="20"/>
          <w:lang w:eastAsia="zh-CN"/>
        </w:rPr>
        <w:t>:</w:t>
      </w:r>
    </w:p>
    <w:p w14:paraId="6686355B" w14:textId="77777777" w:rsidR="007A4356" w:rsidRPr="00FD02F0" w:rsidRDefault="007A4356" w:rsidP="007A4356">
      <w:pPr>
        <w:pStyle w:val="ListParagraph"/>
        <w:ind w:left="0"/>
        <w:rPr>
          <w:rFonts w:eastAsia="Times New Roman"/>
          <w:szCs w:val="20"/>
          <w:highlight w:val="yellow"/>
        </w:rPr>
      </w:pPr>
      <w:r w:rsidRPr="00FD02F0">
        <w:rPr>
          <w:rFonts w:eastAsia="Times New Roman"/>
          <w:szCs w:val="20"/>
          <w:highlight w:val="yellow"/>
        </w:rPr>
        <w:t>Continue discussion in RAN1#91 on the following:</w:t>
      </w:r>
    </w:p>
    <w:p w14:paraId="45B9D8A6" w14:textId="77777777" w:rsidR="007A4356" w:rsidRDefault="007A4356" w:rsidP="007A4356">
      <w:pPr>
        <w:pStyle w:val="ListParagraph"/>
        <w:numPr>
          <w:ilvl w:val="0"/>
          <w:numId w:val="25"/>
        </w:numPr>
        <w:rPr>
          <w:szCs w:val="20"/>
          <w:highlight w:val="yellow"/>
          <w:lang w:eastAsia="zh-CN"/>
        </w:rPr>
      </w:pPr>
      <w:r w:rsidRPr="00FD02F0">
        <w:rPr>
          <w:szCs w:val="20"/>
          <w:highlight w:val="yellow"/>
          <w:lang w:eastAsia="zh-CN"/>
        </w:rPr>
        <w:t>BWP for which CSI is reported is determined by the active BWP in the time location of the CSI reference resource</w:t>
      </w:r>
    </w:p>
    <w:p w14:paraId="057D9EA1" w14:textId="6A0F41B3" w:rsidR="00423F6B" w:rsidRPr="00423F6B" w:rsidRDefault="007A4356" w:rsidP="007A4356">
      <w:pPr>
        <w:rPr>
          <w:b/>
          <w:lang w:val="en-US"/>
        </w:rPr>
      </w:pPr>
      <w:r>
        <w:t>In our understanding, this discussion relates to how BWP-specific CSI-related configuration is done,</w:t>
      </w:r>
      <w:r>
        <w:rPr>
          <w:lang w:val="en-US"/>
        </w:rPr>
        <w:t xml:space="preserve"> which should be clarified first. We consider two possible</w:t>
      </w:r>
      <w:r w:rsidR="00C56CDB">
        <w:rPr>
          <w:lang w:val="en-US"/>
        </w:rPr>
        <w:t xml:space="preserve"> alternatives:</w:t>
      </w:r>
    </w:p>
    <w:p w14:paraId="686C6B4E" w14:textId="1FE5EF55" w:rsidR="00423F6B" w:rsidRDefault="00423F6B" w:rsidP="00423F6B">
      <w:pPr>
        <w:pStyle w:val="ListParagraph"/>
        <w:numPr>
          <w:ilvl w:val="0"/>
          <w:numId w:val="32"/>
        </w:numPr>
        <w:rPr>
          <w:lang w:val="en-US"/>
        </w:rPr>
      </w:pPr>
      <w:r>
        <w:rPr>
          <w:lang w:val="en-US"/>
        </w:rPr>
        <w:t xml:space="preserve">Alt 1: Separate independent instances of CSI report settings are configured for each candidate BWP, </w:t>
      </w:r>
      <w:r w:rsidR="00C67D3D">
        <w:rPr>
          <w:lang w:val="en-US"/>
        </w:rPr>
        <w:t xml:space="preserve">each </w:t>
      </w:r>
      <w:r>
        <w:rPr>
          <w:lang w:val="en-US"/>
        </w:rPr>
        <w:t>mapping to independent Resource Settings</w:t>
      </w:r>
    </w:p>
    <w:p w14:paraId="04DA2956" w14:textId="1DA1427C" w:rsidR="00423F6B" w:rsidRDefault="00423F6B" w:rsidP="00897A22">
      <w:pPr>
        <w:pStyle w:val="ListParagraph"/>
        <w:numPr>
          <w:ilvl w:val="0"/>
          <w:numId w:val="32"/>
        </w:numPr>
        <w:rPr>
          <w:lang w:val="en-US"/>
        </w:rPr>
      </w:pPr>
      <w:r w:rsidRPr="007A4356">
        <w:rPr>
          <w:lang w:val="en-US"/>
        </w:rPr>
        <w:t>Alt 2: The same CSI report settings used for all candidate BWPs</w:t>
      </w:r>
      <w:r w:rsidR="00294B1A" w:rsidRPr="007A4356">
        <w:rPr>
          <w:lang w:val="en-US"/>
        </w:rPr>
        <w:t>, but with separate instances of</w:t>
      </w:r>
      <w:r w:rsidR="007A4356">
        <w:rPr>
          <w:lang w:val="en-US"/>
        </w:rPr>
        <w:t xml:space="preserve"> CSI reporting band definitions and separate mapping to independent Resource Settings that are BWP-specific</w:t>
      </w:r>
    </w:p>
    <w:p w14:paraId="4E8042D2" w14:textId="6BFD17DE" w:rsidR="007A4356" w:rsidRDefault="00C56CDB" w:rsidP="00C56CDB">
      <w:pPr>
        <w:rPr>
          <w:lang w:val="en-US"/>
        </w:rPr>
      </w:pPr>
      <w:r>
        <w:rPr>
          <w:lang w:val="en-US"/>
        </w:rPr>
        <w:lastRenderedPageBreak/>
        <w:t xml:space="preserve">Alt 1 is more similar to the behavior with CA, and may be a cleaner solution than Alt 2. With Alt 1, parallel CSI report settings are used for the different BWPs, implying that a change in BWP will change both what periodic and semi-persistent CSI reports are active, as well as what aperiodic CSI reports can be triggered. </w:t>
      </w:r>
      <w:r w:rsidR="00C67D3D">
        <w:rPr>
          <w:lang w:val="en-US"/>
        </w:rPr>
        <w:t>Which instances of CSI report settings are used could be determine by the slot wherein the BWP transition occurs. If the time location of the CSI reference resource for a recently activated BWP occurred before the BWP transition slot, the CSI report may be dropped.</w:t>
      </w:r>
    </w:p>
    <w:p w14:paraId="3A17486B" w14:textId="295135AB" w:rsidR="00C67D3D" w:rsidRDefault="008C404C" w:rsidP="00C67D3D">
      <w:pPr>
        <w:pStyle w:val="Proposal"/>
        <w:rPr>
          <w:lang w:val="en-US"/>
        </w:rPr>
      </w:pPr>
      <w:bookmarkStart w:id="4" w:name="_Toc498726097"/>
      <w:r>
        <w:rPr>
          <w:lang w:val="en-US"/>
        </w:rPr>
        <w:t>Support BWP-specific CSI configurations where s</w:t>
      </w:r>
      <w:r w:rsidR="00C67D3D">
        <w:rPr>
          <w:lang w:val="en-US"/>
        </w:rPr>
        <w:t>eparate independent instances of CSI report settings are configured for each candidate BWP, each mapping to independent Resource Settings</w:t>
      </w:r>
      <w:bookmarkEnd w:id="4"/>
    </w:p>
    <w:p w14:paraId="04FE649A" w14:textId="77777777" w:rsidR="00380213" w:rsidRDefault="00C67D3D" w:rsidP="00C67D3D">
      <w:pPr>
        <w:pStyle w:val="BodyText"/>
        <w:rPr>
          <w:lang w:val="en-US"/>
        </w:rPr>
      </w:pPr>
      <w:r>
        <w:rPr>
          <w:lang w:val="en-US"/>
        </w:rPr>
        <w:t xml:space="preserve">Another issue is if it should be possible to request a CSI report for a non-activated BWP, for instance in order to probe the channel quality in one of the candidate BWPs. </w:t>
      </w:r>
      <w:r w:rsidR="00380213">
        <w:rPr>
          <w:lang w:val="en-US"/>
        </w:rPr>
        <w:t>Here, we have two cases:</w:t>
      </w:r>
    </w:p>
    <w:p w14:paraId="04C56ED6" w14:textId="39DF55B7" w:rsidR="00380213" w:rsidRDefault="00380213" w:rsidP="00380213">
      <w:pPr>
        <w:pStyle w:val="BodyText"/>
        <w:numPr>
          <w:ilvl w:val="0"/>
          <w:numId w:val="33"/>
        </w:numPr>
        <w:rPr>
          <w:lang w:val="en-US"/>
        </w:rPr>
      </w:pPr>
      <w:r>
        <w:rPr>
          <w:lang w:val="en-US"/>
        </w:rPr>
        <w:t xml:space="preserve">The active BWP and non-active BWP span different PRBs </w:t>
      </w:r>
    </w:p>
    <w:p w14:paraId="07D9F22F" w14:textId="09964563" w:rsidR="00380213" w:rsidRDefault="00380213" w:rsidP="00380213">
      <w:pPr>
        <w:pStyle w:val="BodyText"/>
        <w:numPr>
          <w:ilvl w:val="0"/>
          <w:numId w:val="33"/>
        </w:numPr>
        <w:rPr>
          <w:lang w:val="en-US"/>
        </w:rPr>
      </w:pPr>
      <w:r>
        <w:rPr>
          <w:lang w:val="en-US"/>
        </w:rPr>
        <w:t>The active BWP spans a subset of PRBs of the non-active BWP. For instance, when the UE monitors PDCCH on a narrow BWP to conserve power but is expected to be scheduled on a wider BWP</w:t>
      </w:r>
    </w:p>
    <w:p w14:paraId="77A2AC9E" w14:textId="6152D910" w:rsidR="00C67D3D" w:rsidRDefault="00380213" w:rsidP="00380213">
      <w:pPr>
        <w:pStyle w:val="BodyText"/>
        <w:rPr>
          <w:lang w:val="en-US"/>
        </w:rPr>
      </w:pPr>
      <w:r>
        <w:rPr>
          <w:lang w:val="en-US"/>
        </w:rPr>
        <w:t xml:space="preserve">Supporting the first case </w:t>
      </w:r>
      <w:r w:rsidR="00C67D3D">
        <w:rPr>
          <w:lang w:val="en-US"/>
        </w:rPr>
        <w:t xml:space="preserve">will likely complicate CSI framework design since as cross-BWP triggering of CSI reports </w:t>
      </w:r>
      <w:r>
        <w:rPr>
          <w:lang w:val="en-US"/>
        </w:rPr>
        <w:t>where the UE needs to</w:t>
      </w:r>
      <w:r w:rsidR="00C67D3D">
        <w:rPr>
          <w:lang w:val="en-US"/>
        </w:rPr>
        <w:t xml:space="preserve"> frequency re-tune when switching BWPs</w:t>
      </w:r>
      <w:r>
        <w:rPr>
          <w:lang w:val="en-US"/>
        </w:rPr>
        <w:t xml:space="preserve"> needs to be specified. To support this</w:t>
      </w:r>
      <w:r w:rsidR="00C67D3D">
        <w:rPr>
          <w:lang w:val="en-US"/>
        </w:rPr>
        <w:t>, a measurement gap needs to be introduced</w:t>
      </w:r>
      <w:r w:rsidR="00687317">
        <w:rPr>
          <w:lang w:val="en-US"/>
        </w:rPr>
        <w:t xml:space="preserve"> </w:t>
      </w:r>
      <w:r>
        <w:rPr>
          <w:lang w:val="en-US"/>
        </w:rPr>
        <w:t>since the</w:t>
      </w:r>
      <w:r w:rsidR="00687317">
        <w:rPr>
          <w:lang w:val="en-US"/>
        </w:rPr>
        <w:t xml:space="preserve"> CSI-RS on another candidate BWP needs to be measured. While measurement gaps are used for inter-frequency L3 measurement in LTE, it is unheard of for L1 measurements. The feasibility and benefit of </w:t>
      </w:r>
      <w:r>
        <w:rPr>
          <w:lang w:val="en-US"/>
        </w:rPr>
        <w:t xml:space="preserve">such </w:t>
      </w:r>
      <w:r w:rsidR="00687317">
        <w:rPr>
          <w:lang w:val="en-US"/>
        </w:rPr>
        <w:t>cross-BWP CSI measurements and reporting thus require further study and it is unlikely that this can be finalized for NR Phase 1A.</w:t>
      </w:r>
    </w:p>
    <w:p w14:paraId="425E2BE1" w14:textId="6DCC374D" w:rsidR="008C404C" w:rsidRDefault="008C404C" w:rsidP="008C404C">
      <w:pPr>
        <w:pStyle w:val="Proposal"/>
        <w:rPr>
          <w:lang w:val="en-US"/>
        </w:rPr>
      </w:pPr>
      <w:bookmarkStart w:id="5" w:name="_Toc498726098"/>
      <w:r>
        <w:rPr>
          <w:lang w:val="en-US"/>
        </w:rPr>
        <w:t>Do not reporting CSI corresponding to a non-active BWP if the active and non-active BWPs span different PRBs</w:t>
      </w:r>
      <w:bookmarkEnd w:id="5"/>
    </w:p>
    <w:p w14:paraId="757859B0" w14:textId="17DB032E" w:rsidR="00687317" w:rsidRDefault="00380213" w:rsidP="00380213">
      <w:pPr>
        <w:pStyle w:val="BodyText"/>
        <w:rPr>
          <w:lang w:val="en-US"/>
        </w:rPr>
      </w:pPr>
      <w:r>
        <w:rPr>
          <w:lang w:val="en-US"/>
        </w:rPr>
        <w:t xml:space="preserve">However, for the second case, the UE does not need to perform frequency re-tuning to make the CSI-RS measurement for the non-active BWP since the same center frequency is used for both BWPs. Furthermore, as the UE is expected to be scheduled primarily on the wider BWP, it does not make sense to constrain the UE to only report CSI for the narrower BWP, in fact, all CSI reports should probably correspond to the wider BWP! Hence, some form of cross-BWP CSI reporting would be beneficial in this case. One way to implement this could be to use the CSI configuration (comprising the CSI report settings) defined for the wider BWP for the narrow BWP as well. </w:t>
      </w:r>
      <w:r w:rsidR="00960702">
        <w:rPr>
          <w:lang w:val="en-US"/>
        </w:rPr>
        <w:t>That is</w:t>
      </w:r>
      <w:r w:rsidR="008C404C">
        <w:rPr>
          <w:lang w:val="en-US"/>
        </w:rPr>
        <w:t>, if a first candidate BWP spans a subset of the PRBs of a second candidate BWP, the CSI configuration for the second BWP can be configured to be re-used for the first BWP.</w:t>
      </w:r>
    </w:p>
    <w:p w14:paraId="4815BC3A" w14:textId="32495607" w:rsidR="008C404C" w:rsidRDefault="008C404C" w:rsidP="008C404C">
      <w:pPr>
        <w:pStyle w:val="Proposal"/>
        <w:rPr>
          <w:lang w:val="en-US"/>
        </w:rPr>
      </w:pPr>
      <w:bookmarkStart w:id="6" w:name="_Toc498726099"/>
      <w:r>
        <w:rPr>
          <w:lang w:val="en-US"/>
        </w:rPr>
        <w:t>A BWP spanning a subset of PRBs of another BWP can reuse the same CSI configuration as that BWP</w:t>
      </w:r>
      <w:bookmarkEnd w:id="6"/>
      <w:r>
        <w:rPr>
          <w:lang w:val="en-US"/>
        </w:rPr>
        <w:t xml:space="preserve"> </w:t>
      </w:r>
    </w:p>
    <w:p w14:paraId="3297F5A0" w14:textId="517F8FB7" w:rsidR="00687317" w:rsidRDefault="00687317" w:rsidP="00687317">
      <w:pPr>
        <w:pStyle w:val="Observation"/>
        <w:numPr>
          <w:ilvl w:val="0"/>
          <w:numId w:val="0"/>
        </w:numPr>
        <w:rPr>
          <w:lang w:val="en-US"/>
        </w:rPr>
      </w:pPr>
    </w:p>
    <w:p w14:paraId="25B935E0" w14:textId="0E4923D3" w:rsidR="00687317" w:rsidRDefault="00C6685C" w:rsidP="00C6685C">
      <w:pPr>
        <w:pStyle w:val="Heading1"/>
        <w:rPr>
          <w:lang w:val="en-US"/>
        </w:rPr>
      </w:pPr>
      <w:r>
        <w:rPr>
          <w:lang w:val="en-US"/>
        </w:rPr>
        <w:t>Remaining details on CSI reporting periodicities</w:t>
      </w:r>
    </w:p>
    <w:p w14:paraId="39B5CE6B" w14:textId="1D49729C" w:rsidR="00FD02F0" w:rsidRDefault="00C6685C" w:rsidP="002922E6">
      <w:r>
        <w:rPr>
          <w:lang w:val="en-US"/>
        </w:rPr>
        <w:t>In RAN1#90bis, a</w:t>
      </w:r>
      <w:r w:rsidR="002922E6">
        <w:rPr>
          <w:lang w:val="en-US"/>
        </w:rPr>
        <w:t xml:space="preserve"> minimum set of allowed P/SP CSI reporting periodicities were agreed:</w:t>
      </w:r>
    </w:p>
    <w:p w14:paraId="0EBCBDE2" w14:textId="258D9176" w:rsidR="00FD02F0" w:rsidRPr="00F4621C" w:rsidRDefault="00FD02F0" w:rsidP="00FD02F0">
      <w:pPr>
        <w:contextualSpacing/>
        <w:rPr>
          <w:b/>
        </w:rPr>
      </w:pPr>
      <w:r w:rsidRPr="00F4621C">
        <w:rPr>
          <w:b/>
          <w:highlight w:val="green"/>
        </w:rPr>
        <w:t>Agreement:</w:t>
      </w:r>
    </w:p>
    <w:p w14:paraId="79CD46DD" w14:textId="77777777" w:rsidR="00FD02F0" w:rsidRPr="00F4621C" w:rsidRDefault="00FD02F0" w:rsidP="00FD02F0">
      <w:pPr>
        <w:pStyle w:val="RAN1text"/>
      </w:pPr>
      <w:r w:rsidRPr="00F4621C">
        <w:t xml:space="preserve">NR </w:t>
      </w:r>
      <w:r w:rsidRPr="00F4621C">
        <w:rPr>
          <w:lang w:val="en-US"/>
        </w:rPr>
        <w:t xml:space="preserve">at least </w:t>
      </w:r>
      <w:r w:rsidRPr="00F4621C">
        <w:t xml:space="preserve">supports the following periodicities for P/SP CSI reporting </w:t>
      </w:r>
    </w:p>
    <w:p w14:paraId="53247C3A" w14:textId="77777777" w:rsidR="00FD02F0" w:rsidRPr="00F4621C" w:rsidRDefault="00FD02F0" w:rsidP="00FD02F0">
      <w:pPr>
        <w:pStyle w:val="RAN1bullet1"/>
        <w:rPr>
          <w:lang w:val="en-US"/>
        </w:rPr>
      </w:pPr>
      <w:r w:rsidRPr="00F4621C">
        <w:rPr>
          <w:lang w:val="en-US"/>
        </w:rPr>
        <w:t>{5, 10, 20, 40, 80, 160, 320} slots</w:t>
      </w:r>
    </w:p>
    <w:p w14:paraId="39BEA54C" w14:textId="77777777" w:rsidR="00FD02F0" w:rsidRPr="00F4621C" w:rsidRDefault="00FD02F0" w:rsidP="00FD02F0">
      <w:pPr>
        <w:pStyle w:val="RAN1bullet1"/>
        <w:rPr>
          <w:lang w:val="en-US"/>
        </w:rPr>
      </w:pPr>
      <w:r w:rsidRPr="00FD02F0">
        <w:rPr>
          <w:highlight w:val="yellow"/>
          <w:lang w:val="en-US"/>
        </w:rPr>
        <w:t>Details on restriction on periodicity as a function of subcarrier spacing is to be concluded in RAN1#91 (including whether or not to support</w:t>
      </w:r>
      <w:r w:rsidRPr="00F4621C">
        <w:rPr>
          <w:lang w:val="en-US"/>
        </w:rPr>
        <w:t>)</w:t>
      </w:r>
    </w:p>
    <w:p w14:paraId="23C2CD5E" w14:textId="6579EE53" w:rsidR="00FD02F0" w:rsidRDefault="00FD02F0" w:rsidP="00FD02F0">
      <w:pPr>
        <w:rPr>
          <w:highlight w:val="yellow"/>
          <w:lang w:val="en-US"/>
        </w:rPr>
      </w:pPr>
    </w:p>
    <w:p w14:paraId="0291C278" w14:textId="5712C3C7" w:rsidR="005F2A53" w:rsidRDefault="002922E6" w:rsidP="005F2A53">
      <w:pPr>
        <w:rPr>
          <w:lang w:val="en-US"/>
        </w:rPr>
      </w:pPr>
      <w:r>
        <w:rPr>
          <w:lang w:val="en-US"/>
        </w:rPr>
        <w:t xml:space="preserve">As the </w:t>
      </w:r>
      <w:r w:rsidR="00B35A21">
        <w:rPr>
          <w:lang w:val="en-US"/>
        </w:rPr>
        <w:t xml:space="preserve">periodicities are given in slots rather than milliseconds, there was some concern on that the values in the lower end would result </w:t>
      </w:r>
      <w:r w:rsidR="008F2423">
        <w:rPr>
          <w:lang w:val="en-US"/>
        </w:rPr>
        <w:t xml:space="preserve">in </w:t>
      </w:r>
      <w:r w:rsidR="00B35A21">
        <w:rPr>
          <w:lang w:val="en-US"/>
        </w:rPr>
        <w:t xml:space="preserve"> too frequent reporting for larger subcarrier spacings. For instance, while 5 slots correspond to 5 ms in 15 kHz SCS, it corresponds to 5/8=0.625 ms periodicity for 120 kHz SCS. On</w:t>
      </w:r>
      <w:r w:rsidR="008F2423">
        <w:rPr>
          <w:lang w:val="en-US"/>
        </w:rPr>
        <w:t xml:space="preserve"> one </w:t>
      </w:r>
      <w:r w:rsidR="00B35A21">
        <w:rPr>
          <w:lang w:val="en-US"/>
        </w:rPr>
        <w:t xml:space="preserve"> hand, short CSI reporting periodicity may lead to increased UE complexity and power consumption. On the other hand, larger SCS is used for higher carrier frequency scenario where the Doppler of the channel is larger, implying a smaller channel coherence time. Thus, it could be beneficial to have more frequent CSI reports when larger SCS is used. </w:t>
      </w:r>
      <w:r w:rsidR="005F2A53">
        <w:rPr>
          <w:lang w:val="en-US"/>
        </w:rPr>
        <w:t xml:space="preserve">This should be weighed </w:t>
      </w:r>
      <w:r w:rsidR="005F2A53">
        <w:rPr>
          <w:lang w:val="en-US"/>
        </w:rPr>
        <w:lastRenderedPageBreak/>
        <w:t xml:space="preserve">against the increased UE complexity. Typically also, when larger SCS is used in higher frequencies, the CSI-RS is beamformed and comprises only a few ports, which limits the CSI calculation complexity. It is thus not clear that any restriction actually is needed. </w:t>
      </w:r>
    </w:p>
    <w:p w14:paraId="13DA9D31" w14:textId="05ED8C80" w:rsidR="00FB607E" w:rsidRDefault="005F2A53" w:rsidP="00FD02F0">
      <w:pPr>
        <w:rPr>
          <w:lang w:val="en-US"/>
        </w:rPr>
      </w:pPr>
      <w:r>
        <w:rPr>
          <w:lang w:val="en-US"/>
        </w:rPr>
        <w:t xml:space="preserve">On the other hand, the maximum slot periodicity values will for larger SCS correspond to only moderate CSI reporting periodicities.  For 120 kHz, 320 slots </w:t>
      </w:r>
      <w:r w:rsidR="00A83332">
        <w:rPr>
          <w:lang w:val="en-US"/>
        </w:rPr>
        <w:t>correspond</w:t>
      </w:r>
      <w:r>
        <w:rPr>
          <w:lang w:val="en-US"/>
        </w:rPr>
        <w:t xml:space="preserve"> to only 40 ms. Contrary to </w:t>
      </w:r>
      <w:r w:rsidR="00A83332">
        <w:rPr>
          <w:lang w:val="en-US"/>
        </w:rPr>
        <w:t>having too small periodicities, having larger periodicities only reduces UE complexity and should be of no concern to add for smaller SCSs. In LTE, 160ms CSI reporting periodicity is supported</w:t>
      </w:r>
      <w:r w:rsidR="00637D92">
        <w:rPr>
          <w:lang w:val="en-US"/>
        </w:rPr>
        <w:t xml:space="preserve"> and in our view the same absolute reporting periodicity should be supported also for NR at least with 120 kHz SCS. Thus, additional values of 640 and 1280 slots need to be supported.</w:t>
      </w:r>
    </w:p>
    <w:p w14:paraId="322FD849" w14:textId="19FA2BFD" w:rsidR="00531E3D" w:rsidRDefault="00531E3D" w:rsidP="00BC34FB">
      <w:pPr>
        <w:pStyle w:val="Observation"/>
        <w:rPr>
          <w:lang w:val="en-US"/>
        </w:rPr>
      </w:pPr>
      <w:bookmarkStart w:id="7" w:name="_Toc498726065"/>
      <w:r>
        <w:rPr>
          <w:lang w:val="en-US"/>
        </w:rPr>
        <w:t>Adding longer possible CSI reporting periodicities can only reduce UE complexity</w:t>
      </w:r>
      <w:bookmarkEnd w:id="7"/>
    </w:p>
    <w:p w14:paraId="3A914367" w14:textId="0CC9CF8E" w:rsidR="00FB607E" w:rsidRDefault="00FB607E" w:rsidP="00BC34FB">
      <w:pPr>
        <w:pStyle w:val="BodyText"/>
        <w:rPr>
          <w:lang w:val="en-US"/>
        </w:rPr>
      </w:pPr>
      <w:r>
        <w:rPr>
          <w:lang w:val="en-US"/>
        </w:rPr>
        <w:t xml:space="preserve">Another aspect to consider is that it would be beneficial to align the allowed CSI reporting periodicity values with the possible values for DRX cycles. Naturally, one would like to make it possible so that a UE can wake up from DRX and transmit a periodic CSI report, regardless of its configured DRX cycle. The currently </w:t>
      </w:r>
      <w:r w:rsidR="00DF4910">
        <w:rPr>
          <w:lang w:val="en-US"/>
        </w:rPr>
        <w:t>assumed</w:t>
      </w:r>
      <w:r>
        <w:rPr>
          <w:lang w:val="en-US"/>
        </w:rPr>
        <w:t xml:space="preserve"> values </w:t>
      </w:r>
      <w:r w:rsidR="00DF4910">
        <w:rPr>
          <w:lang w:val="en-US"/>
        </w:rPr>
        <w:t>for DRX cycles in RAN2 are copied below:</w:t>
      </w:r>
    </w:p>
    <w:p w14:paraId="56D44B03" w14:textId="77777777" w:rsidR="00FB607E" w:rsidRPr="00BC34FB" w:rsidRDefault="00FB607E" w:rsidP="00FB607E">
      <w:pPr>
        <w:pStyle w:val="PL"/>
        <w:rPr>
          <w:sz w:val="10"/>
          <w:szCs w:val="16"/>
          <w:lang w:val="en-GB"/>
        </w:rPr>
      </w:pPr>
      <w:r w:rsidRPr="00BC34FB">
        <w:rPr>
          <w:sz w:val="14"/>
          <w:lang w:val="en-GB"/>
        </w:rPr>
        <w:t xml:space="preserve">DRX-Config ::=                    </w:t>
      </w:r>
      <w:r w:rsidRPr="00BC34FB">
        <w:rPr>
          <w:color w:val="993366"/>
          <w:sz w:val="14"/>
          <w:lang w:val="en-GB"/>
        </w:rPr>
        <w:t>CHOICE</w:t>
      </w:r>
      <w:r w:rsidRPr="00BC34FB">
        <w:rPr>
          <w:sz w:val="14"/>
          <w:lang w:val="en-GB"/>
        </w:rPr>
        <w:t xml:space="preserve"> {</w:t>
      </w:r>
    </w:p>
    <w:p w14:paraId="294E98BE" w14:textId="77777777" w:rsidR="00FB607E" w:rsidRPr="00BC34FB" w:rsidRDefault="00FB607E" w:rsidP="00FB607E">
      <w:pPr>
        <w:pStyle w:val="PL"/>
        <w:rPr>
          <w:sz w:val="14"/>
          <w:lang w:val="en-GB"/>
        </w:rPr>
      </w:pPr>
      <w:r w:rsidRPr="00BC34FB">
        <w:rPr>
          <w:sz w:val="14"/>
          <w:lang w:val="en-GB"/>
        </w:rPr>
        <w:t xml:space="preserve">    release                          </w:t>
      </w:r>
      <w:r w:rsidRPr="00BC34FB">
        <w:rPr>
          <w:color w:val="993366"/>
          <w:sz w:val="14"/>
          <w:lang w:val="en-GB"/>
        </w:rPr>
        <w:t>NULL</w:t>
      </w:r>
      <w:r w:rsidRPr="00BC34FB">
        <w:rPr>
          <w:sz w:val="14"/>
          <w:lang w:val="en-GB"/>
        </w:rPr>
        <w:t>,</w:t>
      </w:r>
    </w:p>
    <w:p w14:paraId="47468505" w14:textId="77777777" w:rsidR="00FB607E" w:rsidRPr="00BC34FB" w:rsidRDefault="00FB607E" w:rsidP="00FB607E">
      <w:pPr>
        <w:pStyle w:val="PL"/>
        <w:rPr>
          <w:sz w:val="14"/>
          <w:lang w:val="en-GB"/>
        </w:rPr>
      </w:pPr>
      <w:r w:rsidRPr="00BC34FB">
        <w:rPr>
          <w:sz w:val="14"/>
          <w:lang w:val="en-GB"/>
        </w:rPr>
        <w:t xml:space="preserve">    setup                            </w:t>
      </w:r>
      <w:r w:rsidRPr="00BC34FB">
        <w:rPr>
          <w:color w:val="993366"/>
          <w:sz w:val="14"/>
          <w:lang w:val="en-GB"/>
        </w:rPr>
        <w:t>SEQUENCE</w:t>
      </w:r>
      <w:r w:rsidRPr="00BC34FB">
        <w:rPr>
          <w:sz w:val="14"/>
          <w:lang w:val="en-GB"/>
        </w:rPr>
        <w:t xml:space="preserve"> {</w:t>
      </w:r>
    </w:p>
    <w:p w14:paraId="7769DC0B" w14:textId="77777777" w:rsidR="00FB607E" w:rsidRPr="00BC34FB" w:rsidRDefault="00FB607E" w:rsidP="00FB607E">
      <w:pPr>
        <w:pStyle w:val="PL"/>
        <w:rPr>
          <w:sz w:val="14"/>
          <w:lang w:val="en-GB"/>
        </w:rPr>
      </w:pPr>
      <w:r w:rsidRPr="00BC34FB">
        <w:rPr>
          <w:sz w:val="14"/>
          <w:lang w:val="en-GB"/>
        </w:rPr>
        <w:t xml:space="preserve">       drx-onDurationTimer                </w:t>
      </w:r>
      <w:r w:rsidRPr="00BC34FB">
        <w:rPr>
          <w:color w:val="993366"/>
          <w:sz w:val="14"/>
          <w:lang w:val="en-GB"/>
        </w:rPr>
        <w:t>ENUMERATED</w:t>
      </w:r>
      <w:r w:rsidRPr="00BC34FB">
        <w:rPr>
          <w:sz w:val="14"/>
          <w:lang w:val="en-GB"/>
        </w:rPr>
        <w:t xml:space="preserve"> {</w:t>
      </w:r>
    </w:p>
    <w:p w14:paraId="2FEBD937" w14:textId="24E3645A" w:rsidR="00FB607E" w:rsidRPr="00BC34FB" w:rsidRDefault="00FB607E" w:rsidP="008F2DA2">
      <w:pPr>
        <w:pStyle w:val="PL"/>
        <w:rPr>
          <w:sz w:val="14"/>
          <w:lang w:val="en-GB"/>
        </w:rPr>
      </w:pPr>
      <w:r w:rsidRPr="00BC34FB">
        <w:rPr>
          <w:sz w:val="14"/>
          <w:lang w:val="en-GB"/>
        </w:rPr>
        <w:t>                                            ms1, ms2, ms3, ms4, ms5, ms6, ms8, msf10, ms20, ms30, ms40, ms50, ms60, ms80, ms100, ms200, ms300, ms400, ms500, ms600, ms800, ms1000, ms1200, ms1600, spare8, spare7, spare6, spare5,</w:t>
      </w:r>
      <w:r w:rsidRPr="008F2DA2">
        <w:rPr>
          <w:sz w:val="14"/>
          <w:lang w:val="en-GB"/>
        </w:rPr>
        <w:t xml:space="preserve"> spare4, spare3, spare2, spare1</w:t>
      </w:r>
      <w:r w:rsidRPr="00BC34FB">
        <w:rPr>
          <w:sz w:val="14"/>
          <w:lang w:val="en-GB"/>
        </w:rPr>
        <w:t>},</w:t>
      </w:r>
    </w:p>
    <w:p w14:paraId="365683BF" w14:textId="7FEEF46F" w:rsidR="00FB607E" w:rsidRPr="00BC34FB" w:rsidRDefault="00FB607E" w:rsidP="008F2DA2">
      <w:pPr>
        <w:pStyle w:val="PL"/>
        <w:rPr>
          <w:color w:val="808080"/>
          <w:sz w:val="14"/>
          <w:lang w:val="en-GB"/>
        </w:rPr>
      </w:pPr>
      <w:r>
        <w:rPr>
          <w:sz w:val="14"/>
          <w:lang w:val="en-GB"/>
        </w:rPr>
        <w:t>[…]</w:t>
      </w:r>
    </w:p>
    <w:p w14:paraId="300901B1" w14:textId="77777777" w:rsidR="00FB607E" w:rsidRPr="00BC34FB" w:rsidRDefault="00FB607E" w:rsidP="00FB607E">
      <w:pPr>
        <w:pStyle w:val="PL"/>
        <w:rPr>
          <w:sz w:val="14"/>
          <w:lang w:val="en-GB"/>
        </w:rPr>
      </w:pPr>
      <w:r w:rsidRPr="00BC34FB">
        <w:rPr>
          <w:sz w:val="14"/>
          <w:lang w:val="en-GB"/>
        </w:rPr>
        <w:t>    }</w:t>
      </w:r>
    </w:p>
    <w:p w14:paraId="4DABFF85" w14:textId="4D95567F" w:rsidR="00FB607E" w:rsidRDefault="00FB607E" w:rsidP="00BC34FB">
      <w:pPr>
        <w:pStyle w:val="BodyText"/>
        <w:rPr>
          <w:lang w:val="en-US"/>
        </w:rPr>
      </w:pPr>
    </w:p>
    <w:p w14:paraId="75242F09" w14:textId="117A4FB5" w:rsidR="00DF4910" w:rsidRDefault="00DF4910" w:rsidP="00BC34FB">
      <w:pPr>
        <w:pStyle w:val="BodyText"/>
        <w:rPr>
          <w:lang w:val="en-US"/>
        </w:rPr>
      </w:pPr>
      <w:r>
        <w:rPr>
          <w:lang w:val="en-US"/>
        </w:rPr>
        <w:t xml:space="preserve">We note that (1) the cycles are given in milliseconds rather than slots, (2) the maximum DRX cycle is 1600 ms. </w:t>
      </w:r>
      <w:r w:rsidR="00A1353E">
        <w:rPr>
          <w:lang w:val="en-US"/>
        </w:rPr>
        <w:t>Thus,</w:t>
      </w:r>
      <w:r>
        <w:rPr>
          <w:lang w:val="en-US"/>
        </w:rPr>
        <w:t xml:space="preserve"> a</w:t>
      </w:r>
      <w:r w:rsidR="00531E3D">
        <w:rPr>
          <w:lang w:val="en-US"/>
        </w:rPr>
        <w:t xml:space="preserve"> number of CSI periodicities should be added to align with the possible DRX cycles for all subcarrier spacings. It is reasonable that at least all DRX cycles longer than 40 ms should have an aligned CSI reporting periodicity for all SCSs. Therefore, the additional </w:t>
      </w:r>
      <w:r w:rsidR="00DB4838">
        <w:rPr>
          <w:lang w:val="en-US"/>
        </w:rPr>
        <w:t xml:space="preserve">CSI reporting periodicities in </w:t>
      </w:r>
      <w:r w:rsidR="00531E3D">
        <w:rPr>
          <w:lang w:val="en-US"/>
        </w:rPr>
        <w:t>Table 1 should be added.</w:t>
      </w:r>
    </w:p>
    <w:p w14:paraId="7D946389" w14:textId="0BCAB961" w:rsidR="00531E3D" w:rsidRDefault="00531E3D" w:rsidP="00BC34FB">
      <w:pPr>
        <w:pStyle w:val="Caption"/>
        <w:keepNext/>
      </w:pPr>
      <w:r>
        <w:t xml:space="preserve">Table </w:t>
      </w:r>
      <w:r>
        <w:fldChar w:fldCharType="begin"/>
      </w:r>
      <w:r>
        <w:instrText xml:space="preserve"> SEQ Table \* ARABIC </w:instrText>
      </w:r>
      <w:r>
        <w:fldChar w:fldCharType="separate"/>
      </w:r>
      <w:r>
        <w:rPr>
          <w:noProof/>
        </w:rPr>
        <w:t>1</w:t>
      </w:r>
      <w:r>
        <w:fldChar w:fldCharType="end"/>
      </w:r>
      <w:r>
        <w:t>: Additional CSI reporting periodicities</w:t>
      </w:r>
    </w:p>
    <w:tbl>
      <w:tblPr>
        <w:tblStyle w:val="GridTable1Light-Accent3"/>
        <w:tblW w:w="0" w:type="auto"/>
        <w:jc w:val="center"/>
        <w:tblLook w:val="04A0" w:firstRow="1" w:lastRow="0" w:firstColumn="1" w:lastColumn="0" w:noHBand="0" w:noVBand="1"/>
      </w:tblPr>
      <w:tblGrid>
        <w:gridCol w:w="8926"/>
      </w:tblGrid>
      <w:tr w:rsidR="00531E3D" w14:paraId="74F80DE8" w14:textId="77777777" w:rsidTr="00BC34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26" w:type="dxa"/>
          </w:tcPr>
          <w:p w14:paraId="03F54F83" w14:textId="282662E5" w:rsidR="00531E3D" w:rsidRDefault="00531E3D" w:rsidP="00FB607E">
            <w:pPr>
              <w:pStyle w:val="BodyText"/>
              <w:rPr>
                <w:lang w:val="en-US"/>
              </w:rPr>
            </w:pPr>
            <w:r>
              <w:rPr>
                <w:lang w:val="en-US"/>
              </w:rPr>
              <w:t>Additional CSI periodicities [slots]</w:t>
            </w:r>
          </w:p>
        </w:tc>
      </w:tr>
      <w:tr w:rsidR="00531E3D" w14:paraId="58961BD2" w14:textId="77777777" w:rsidTr="00BC34FB">
        <w:trPr>
          <w:jc w:val="center"/>
        </w:trPr>
        <w:tc>
          <w:tcPr>
            <w:cnfStyle w:val="001000000000" w:firstRow="0" w:lastRow="0" w:firstColumn="1" w:lastColumn="0" w:oddVBand="0" w:evenVBand="0" w:oddHBand="0" w:evenHBand="0" w:firstRowFirstColumn="0" w:firstRowLastColumn="0" w:lastRowFirstColumn="0" w:lastRowLastColumn="0"/>
            <w:tcW w:w="8926" w:type="dxa"/>
          </w:tcPr>
          <w:p w14:paraId="3DAAB2B2" w14:textId="671BA831" w:rsidR="00531E3D" w:rsidRPr="00BC34FB" w:rsidRDefault="00531E3D">
            <w:pPr>
              <w:pStyle w:val="BodyText"/>
              <w:rPr>
                <w:b w:val="0"/>
                <w:lang w:val="en-US"/>
              </w:rPr>
            </w:pPr>
            <w:r w:rsidRPr="00BC34FB">
              <w:rPr>
                <w:b w:val="0"/>
                <w:lang w:val="en-US"/>
              </w:rPr>
              <w:t>50</w:t>
            </w:r>
            <w:r w:rsidRPr="00BC34FB">
              <w:rPr>
                <w:b w:val="0"/>
                <w:lang w:val="en-US"/>
              </w:rPr>
              <w:tab/>
              <w:t>60</w:t>
            </w:r>
            <w:r w:rsidRPr="00BC34FB">
              <w:rPr>
                <w:b w:val="0"/>
                <w:lang w:val="en-US"/>
              </w:rPr>
              <w:tab/>
              <w:t>100</w:t>
            </w:r>
            <w:r w:rsidRPr="00BC34FB">
              <w:rPr>
                <w:b w:val="0"/>
                <w:lang w:val="en-US"/>
              </w:rPr>
              <w:tab/>
              <w:t>120</w:t>
            </w:r>
            <w:r w:rsidRPr="00BC34FB">
              <w:rPr>
                <w:b w:val="0"/>
                <w:lang w:val="en-US"/>
              </w:rPr>
              <w:tab/>
              <w:t>200</w:t>
            </w:r>
            <w:r w:rsidRPr="00BC34FB">
              <w:rPr>
                <w:b w:val="0"/>
                <w:lang w:val="en-US"/>
              </w:rPr>
              <w:tab/>
              <w:t>240</w:t>
            </w:r>
            <w:r w:rsidRPr="00BC34FB">
              <w:rPr>
                <w:b w:val="0"/>
                <w:lang w:val="en-US"/>
              </w:rPr>
              <w:tab/>
              <w:t>300</w:t>
            </w:r>
            <w:r w:rsidRPr="00BC34FB">
              <w:rPr>
                <w:b w:val="0"/>
                <w:lang w:val="en-US"/>
              </w:rPr>
              <w:tab/>
              <w:t>400</w:t>
            </w:r>
            <w:r w:rsidRPr="00BC34FB">
              <w:rPr>
                <w:b w:val="0"/>
                <w:lang w:val="en-US"/>
              </w:rPr>
              <w:tab/>
              <w:t>480</w:t>
            </w:r>
            <w:r w:rsidRPr="00BC34FB">
              <w:rPr>
                <w:b w:val="0"/>
                <w:lang w:val="en-US"/>
              </w:rPr>
              <w:tab/>
              <w:t>500</w:t>
            </w:r>
            <w:r w:rsidRPr="00BC34FB">
              <w:rPr>
                <w:b w:val="0"/>
                <w:lang w:val="en-US"/>
              </w:rPr>
              <w:tab/>
              <w:t>600</w:t>
            </w:r>
            <w:r w:rsidRPr="00BC34FB">
              <w:rPr>
                <w:b w:val="0"/>
                <w:lang w:val="en-US"/>
              </w:rPr>
              <w:tab/>
              <w:t>640</w:t>
            </w:r>
            <w:r w:rsidRPr="00BC34FB">
              <w:rPr>
                <w:b w:val="0"/>
                <w:lang w:val="en-US"/>
              </w:rPr>
              <w:tab/>
              <w:t>800</w:t>
            </w:r>
            <w:r w:rsidRPr="00BC34FB">
              <w:rPr>
                <w:b w:val="0"/>
                <w:lang w:val="en-US"/>
              </w:rPr>
              <w:tab/>
              <w:t>960</w:t>
            </w:r>
            <w:r w:rsidRPr="00BC34FB">
              <w:rPr>
                <w:b w:val="0"/>
                <w:lang w:val="en-US"/>
              </w:rPr>
              <w:tab/>
              <w:t>1000</w:t>
            </w:r>
            <w:r w:rsidRPr="00BC34FB">
              <w:rPr>
                <w:b w:val="0"/>
                <w:lang w:val="en-US"/>
              </w:rPr>
              <w:tab/>
              <w:t>1200</w:t>
            </w:r>
            <w:r w:rsidRPr="00BC34FB">
              <w:rPr>
                <w:b w:val="0"/>
                <w:lang w:val="en-US"/>
              </w:rPr>
              <w:tab/>
              <w:t>1280</w:t>
            </w:r>
            <w:r w:rsidRPr="00BC34FB">
              <w:rPr>
                <w:b w:val="0"/>
                <w:lang w:val="en-US"/>
              </w:rPr>
              <w:tab/>
              <w:t>1600</w:t>
            </w:r>
            <w:r w:rsidRPr="00BC34FB">
              <w:rPr>
                <w:b w:val="0"/>
                <w:lang w:val="en-US"/>
              </w:rPr>
              <w:tab/>
              <w:t>2000</w:t>
            </w:r>
            <w:r w:rsidRPr="00BC34FB">
              <w:rPr>
                <w:b w:val="0"/>
                <w:lang w:val="en-US"/>
              </w:rPr>
              <w:tab/>
              <w:t>2400</w:t>
            </w:r>
            <w:r w:rsidRPr="00BC34FB">
              <w:rPr>
                <w:b w:val="0"/>
                <w:lang w:val="en-US"/>
              </w:rPr>
              <w:tab/>
              <w:t>3200</w:t>
            </w:r>
            <w:r w:rsidRPr="00BC34FB">
              <w:rPr>
                <w:b w:val="0"/>
                <w:lang w:val="en-US"/>
              </w:rPr>
              <w:tab/>
              <w:t>4000</w:t>
            </w:r>
            <w:r w:rsidRPr="00BC34FB">
              <w:rPr>
                <w:b w:val="0"/>
                <w:lang w:val="en-US"/>
              </w:rPr>
              <w:tab/>
              <w:t>4800</w:t>
            </w:r>
            <w:r w:rsidRPr="00BC34FB">
              <w:rPr>
                <w:b w:val="0"/>
                <w:lang w:val="en-US"/>
              </w:rPr>
              <w:tab/>
              <w:t>6400</w:t>
            </w:r>
            <w:r w:rsidRPr="00BC34FB">
              <w:rPr>
                <w:b w:val="0"/>
                <w:lang w:val="en-US"/>
              </w:rPr>
              <w:tab/>
              <w:t>8000</w:t>
            </w:r>
            <w:r w:rsidRPr="00BC34FB">
              <w:rPr>
                <w:b w:val="0"/>
                <w:lang w:val="en-US"/>
              </w:rPr>
              <w:tab/>
              <w:t>9600</w:t>
            </w:r>
            <w:r w:rsidRPr="00BC34FB">
              <w:rPr>
                <w:b w:val="0"/>
                <w:lang w:val="en-US"/>
              </w:rPr>
              <w:tab/>
              <w:t>12800</w:t>
            </w:r>
            <w:r w:rsidRPr="00BC34FB">
              <w:rPr>
                <w:b w:val="0"/>
                <w:lang w:val="en-US"/>
              </w:rPr>
              <w:tab/>
              <w:t>16000</w:t>
            </w:r>
            <w:r w:rsidRPr="00BC34FB">
              <w:rPr>
                <w:b w:val="0"/>
                <w:lang w:val="en-US"/>
              </w:rPr>
              <w:tab/>
              <w:t>19200</w:t>
            </w:r>
            <w:r w:rsidRPr="00BC34FB">
              <w:rPr>
                <w:b w:val="0"/>
                <w:lang w:val="en-US"/>
              </w:rPr>
              <w:tab/>
              <w:t>25600</w:t>
            </w:r>
          </w:p>
        </w:tc>
      </w:tr>
    </w:tbl>
    <w:p w14:paraId="45339F65" w14:textId="77777777" w:rsidR="00531E3D" w:rsidRDefault="00531E3D" w:rsidP="00BC34FB">
      <w:pPr>
        <w:pStyle w:val="BodyText"/>
        <w:rPr>
          <w:lang w:val="en-US"/>
        </w:rPr>
      </w:pPr>
    </w:p>
    <w:p w14:paraId="7AD7EE2F" w14:textId="02261846" w:rsidR="00531E3D" w:rsidRDefault="00531E3D" w:rsidP="00BC34FB">
      <w:pPr>
        <w:pStyle w:val="BodyText"/>
        <w:rPr>
          <w:lang w:val="en-US"/>
        </w:rPr>
      </w:pPr>
      <w:r>
        <w:rPr>
          <w:lang w:val="en-US"/>
        </w:rPr>
        <w:t>We note that allowed CSI reporting periodicities can be larger than</w:t>
      </w:r>
      <w:r w:rsidR="00A1353E">
        <w:rPr>
          <w:lang w:val="en-US"/>
        </w:rPr>
        <w:t xml:space="preserve"> the corresponding</w:t>
      </w:r>
      <w:r>
        <w:rPr>
          <w:lang w:val="en-US"/>
        </w:rPr>
        <w:t xml:space="preserve"> CSI-RS periodicities. This is because a cell-covering periodic CSI-RS can be shared among multiple UE in the cell, where each UE have a much longer DRX cycle but where the UEs wake up at different times to measure the CSI-RS and transmit the P-CSI report.</w:t>
      </w:r>
    </w:p>
    <w:p w14:paraId="73F48C81" w14:textId="50B48CD8" w:rsidR="00531E3D" w:rsidRDefault="00531E3D">
      <w:pPr>
        <w:pStyle w:val="Proposal"/>
        <w:rPr>
          <w:lang w:val="en-US"/>
        </w:rPr>
      </w:pPr>
      <w:bookmarkStart w:id="8" w:name="_Toc498726100"/>
      <w:r>
        <w:rPr>
          <w:lang w:val="en-US"/>
        </w:rPr>
        <w:t xml:space="preserve">Adopt the additional CSI periodicities in Table 1 to ensure alignment between P-CSI reporting and </w:t>
      </w:r>
      <w:r w:rsidR="00F067E5">
        <w:rPr>
          <w:lang w:val="en-US"/>
        </w:rPr>
        <w:t>DRX cycles for all supported subcarrier spacings</w:t>
      </w:r>
      <w:bookmarkEnd w:id="8"/>
    </w:p>
    <w:p w14:paraId="119ECA1D" w14:textId="77777777" w:rsidR="00531E3D" w:rsidRDefault="00531E3D" w:rsidP="00BC34FB">
      <w:pPr>
        <w:pStyle w:val="BodyText"/>
        <w:rPr>
          <w:lang w:val="en-US"/>
        </w:rPr>
      </w:pPr>
    </w:p>
    <w:p w14:paraId="223E75F7" w14:textId="77777777" w:rsidR="00FB607E" w:rsidRDefault="00FB607E" w:rsidP="00BC34FB">
      <w:pPr>
        <w:pStyle w:val="BodyText"/>
        <w:rPr>
          <w:lang w:val="en-US"/>
        </w:rPr>
      </w:pPr>
    </w:p>
    <w:p w14:paraId="00445DEF" w14:textId="77777777" w:rsidR="00FB607E" w:rsidRDefault="00FB607E" w:rsidP="00BC34FB">
      <w:pPr>
        <w:pStyle w:val="BodyText"/>
        <w:rPr>
          <w:lang w:val="en-US"/>
        </w:rPr>
      </w:pPr>
    </w:p>
    <w:p w14:paraId="250851F6" w14:textId="01307D4E" w:rsidR="005F2A53" w:rsidRPr="002922E6" w:rsidRDefault="000E176E" w:rsidP="000E176E">
      <w:pPr>
        <w:pStyle w:val="Heading1"/>
        <w:rPr>
          <w:lang w:val="en-US"/>
        </w:rPr>
      </w:pPr>
      <w:r>
        <w:rPr>
          <w:lang w:val="en-US"/>
        </w:rPr>
        <w:t>Remaining details on CSI priority rules</w:t>
      </w:r>
    </w:p>
    <w:p w14:paraId="188EB575" w14:textId="798F90C3" w:rsidR="002922E6" w:rsidRPr="000A3643" w:rsidRDefault="000A3643" w:rsidP="00FD02F0">
      <w:pPr>
        <w:rPr>
          <w:lang w:val="en-US"/>
        </w:rPr>
      </w:pPr>
      <w:r w:rsidRPr="000A3643">
        <w:rPr>
          <w:lang w:val="en-US"/>
        </w:rPr>
        <w:t>In</w:t>
      </w:r>
      <w:r>
        <w:rPr>
          <w:lang w:val="en-US"/>
        </w:rPr>
        <w:t xml:space="preserve"> RAN1#90bis, a set of priority rules for handling CSI collisions was agreed:</w:t>
      </w:r>
    </w:p>
    <w:p w14:paraId="58CC0411" w14:textId="7058DDAD" w:rsidR="00FD02F0" w:rsidRPr="00E868DE" w:rsidRDefault="00FD02F0" w:rsidP="00FD02F0">
      <w:pPr>
        <w:contextualSpacing/>
        <w:rPr>
          <w:b/>
        </w:rPr>
      </w:pPr>
      <w:r w:rsidRPr="00E868DE">
        <w:rPr>
          <w:b/>
          <w:highlight w:val="green"/>
        </w:rPr>
        <w:t>Agreement:</w:t>
      </w:r>
    </w:p>
    <w:p w14:paraId="25C4F2F8" w14:textId="77777777" w:rsidR="00FD02F0" w:rsidRPr="00BC6F9F" w:rsidRDefault="00FD02F0" w:rsidP="00FD02F0">
      <w:pPr>
        <w:pStyle w:val="ListParagraph"/>
        <w:numPr>
          <w:ilvl w:val="0"/>
          <w:numId w:val="27"/>
        </w:numPr>
        <w:spacing w:after="0"/>
        <w:contextualSpacing w:val="0"/>
      </w:pPr>
      <w:r w:rsidRPr="00BC6F9F">
        <w:t>At least for</w:t>
      </w:r>
      <w:r>
        <w:t xml:space="preserve"> when Type I CSI collides with Type I CSI and Type II CSI collides with Type II CSI</w:t>
      </w:r>
    </w:p>
    <w:p w14:paraId="0FA9D210" w14:textId="77777777" w:rsidR="00FD02F0" w:rsidRPr="005C5080" w:rsidRDefault="00FD02F0" w:rsidP="00FD02F0">
      <w:pPr>
        <w:pStyle w:val="ListParagraph"/>
        <w:numPr>
          <w:ilvl w:val="1"/>
          <w:numId w:val="26"/>
        </w:numPr>
        <w:spacing w:after="0"/>
        <w:contextualSpacing w:val="0"/>
        <w:rPr>
          <w:b/>
        </w:rPr>
      </w:pPr>
      <w:r>
        <w:t>The following priority order for CSI periodicity types applies</w:t>
      </w:r>
    </w:p>
    <w:p w14:paraId="00EC6B9C" w14:textId="77777777" w:rsidR="00FD02F0" w:rsidRPr="00E868DE" w:rsidRDefault="00FD02F0" w:rsidP="00FD02F0">
      <w:pPr>
        <w:pStyle w:val="ListParagraph"/>
        <w:numPr>
          <w:ilvl w:val="2"/>
          <w:numId w:val="26"/>
        </w:numPr>
        <w:spacing w:after="0"/>
        <w:contextualSpacing w:val="0"/>
        <w:rPr>
          <w:b/>
        </w:rPr>
      </w:pPr>
      <w:r>
        <w:t>Aperiodic CSI &gt; P-CSI</w:t>
      </w:r>
    </w:p>
    <w:p w14:paraId="08E8F134" w14:textId="77777777" w:rsidR="00FD02F0" w:rsidRPr="00E868DE" w:rsidRDefault="00FD02F0" w:rsidP="00FD02F0">
      <w:pPr>
        <w:pStyle w:val="ListParagraph"/>
        <w:numPr>
          <w:ilvl w:val="2"/>
          <w:numId w:val="26"/>
        </w:numPr>
        <w:spacing w:after="0"/>
        <w:contextualSpacing w:val="0"/>
        <w:rPr>
          <w:b/>
        </w:rPr>
      </w:pPr>
      <w:r>
        <w:lastRenderedPageBreak/>
        <w:t>Aperiodic CSI &gt; SP-CSI</w:t>
      </w:r>
    </w:p>
    <w:p w14:paraId="6B7A0DD6" w14:textId="77777777" w:rsidR="00FD02F0" w:rsidRPr="00FD02F0" w:rsidRDefault="00FD02F0" w:rsidP="00FD02F0">
      <w:pPr>
        <w:pStyle w:val="ListParagraph"/>
        <w:numPr>
          <w:ilvl w:val="2"/>
          <w:numId w:val="26"/>
        </w:numPr>
        <w:spacing w:after="0"/>
        <w:contextualSpacing w:val="0"/>
        <w:rPr>
          <w:b/>
          <w:highlight w:val="yellow"/>
        </w:rPr>
      </w:pPr>
      <w:r w:rsidRPr="00FD02F0">
        <w:rPr>
          <w:highlight w:val="yellow"/>
        </w:rPr>
        <w:t>Note: Study further on the priority between SP-CSI and P-CSI</w:t>
      </w:r>
    </w:p>
    <w:p w14:paraId="4471CE0E" w14:textId="77777777" w:rsidR="00FD02F0" w:rsidRPr="005C5080" w:rsidRDefault="00FD02F0" w:rsidP="00FD02F0">
      <w:pPr>
        <w:pStyle w:val="ListParagraph"/>
        <w:numPr>
          <w:ilvl w:val="2"/>
          <w:numId w:val="26"/>
        </w:numPr>
        <w:spacing w:after="0"/>
        <w:contextualSpacing w:val="0"/>
        <w:rPr>
          <w:b/>
        </w:rPr>
      </w:pPr>
      <w:r>
        <w:t>CSI on PUSCH has priority over CSI on PUCCH</w:t>
      </w:r>
    </w:p>
    <w:p w14:paraId="5CFAC254" w14:textId="77777777" w:rsidR="00FD02F0" w:rsidRPr="005C5080" w:rsidRDefault="00FD02F0" w:rsidP="00FD02F0">
      <w:pPr>
        <w:pStyle w:val="ListParagraph"/>
        <w:numPr>
          <w:ilvl w:val="1"/>
          <w:numId w:val="26"/>
        </w:numPr>
        <w:spacing w:after="0"/>
        <w:contextualSpacing w:val="0"/>
        <w:rPr>
          <w:b/>
        </w:rPr>
      </w:pPr>
      <w:r>
        <w:t>Only one CSI periodicity type is piggybacked on PUSCH</w:t>
      </w:r>
    </w:p>
    <w:p w14:paraId="1AFE0927" w14:textId="77777777" w:rsidR="00FD02F0" w:rsidRPr="005C5080" w:rsidRDefault="00FD02F0" w:rsidP="00FD02F0">
      <w:pPr>
        <w:pStyle w:val="ListParagraph"/>
        <w:numPr>
          <w:ilvl w:val="2"/>
          <w:numId w:val="26"/>
        </w:numPr>
        <w:spacing w:after="0"/>
        <w:contextualSpacing w:val="0"/>
        <w:rPr>
          <w:b/>
        </w:rPr>
      </w:pPr>
      <w:r>
        <w:t>Lower priority CSI is dropped when there is a collision</w:t>
      </w:r>
    </w:p>
    <w:p w14:paraId="1EB1E194" w14:textId="77777777" w:rsidR="00FD02F0" w:rsidRPr="00BC6F9F" w:rsidRDefault="00FD02F0" w:rsidP="00FD02F0">
      <w:pPr>
        <w:pStyle w:val="ListParagraph"/>
        <w:numPr>
          <w:ilvl w:val="1"/>
          <w:numId w:val="26"/>
        </w:numPr>
        <w:spacing w:after="0"/>
        <w:contextualSpacing w:val="0"/>
        <w:rPr>
          <w:b/>
        </w:rPr>
      </w:pPr>
      <w:r>
        <w:t>Aperiodic CSI on PUCCH is dropped if there is a collision with PUSCH</w:t>
      </w:r>
    </w:p>
    <w:p w14:paraId="2927BE63" w14:textId="77777777" w:rsidR="00FD02F0" w:rsidRPr="00FD02F0" w:rsidRDefault="00FD02F0" w:rsidP="00FD02F0">
      <w:pPr>
        <w:pStyle w:val="ListParagraph"/>
        <w:numPr>
          <w:ilvl w:val="0"/>
          <w:numId w:val="26"/>
        </w:numPr>
        <w:spacing w:after="0"/>
        <w:contextualSpacing w:val="0"/>
        <w:rPr>
          <w:b/>
          <w:highlight w:val="yellow"/>
        </w:rPr>
      </w:pPr>
      <w:r w:rsidRPr="00FD02F0">
        <w:rPr>
          <w:highlight w:val="yellow"/>
        </w:rPr>
        <w:t>TBD in RAN1#91 If the above applies for Type I CSI collides with Type II CSI as well</w:t>
      </w:r>
    </w:p>
    <w:p w14:paraId="3DF069FB" w14:textId="491624FD" w:rsidR="00FD02F0" w:rsidRDefault="00FD02F0" w:rsidP="002611E7">
      <w:pPr>
        <w:pStyle w:val="BodyText"/>
      </w:pPr>
    </w:p>
    <w:p w14:paraId="7195EA7B" w14:textId="46B18984" w:rsidR="000A3643" w:rsidRDefault="000A3643" w:rsidP="002611E7">
      <w:pPr>
        <w:pStyle w:val="BodyText"/>
      </w:pPr>
      <w:r>
        <w:t xml:space="preserve">First, RAN1 should clarify what “CSI collision” means, in order to “pre-empt” possible misunderstanding. </w:t>
      </w:r>
    </w:p>
    <w:p w14:paraId="34D9012B" w14:textId="02ABB0CF" w:rsidR="000A3643" w:rsidRDefault="000A3643" w:rsidP="000A3643">
      <w:pPr>
        <w:pStyle w:val="Proposal"/>
      </w:pPr>
      <w:bookmarkStart w:id="9" w:name="_Toc498726101"/>
      <w:r>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9"/>
    </w:p>
    <w:p w14:paraId="0A1877B8" w14:textId="2A43784B" w:rsidR="000A3643" w:rsidRDefault="000A3643" w:rsidP="000A3643">
      <w:pPr>
        <w:pStyle w:val="BodyText"/>
      </w:pPr>
      <w:r>
        <w:t>Second, we address the remaining open issues.</w:t>
      </w:r>
    </w:p>
    <w:p w14:paraId="60B64322" w14:textId="77777777" w:rsidR="002E55D7" w:rsidRDefault="000A3643" w:rsidP="000A3643">
      <w:pPr>
        <w:pStyle w:val="BodyText"/>
      </w:pPr>
      <w:r w:rsidRPr="00BC34FB">
        <w:t>The first open issue is what the priority rule should be if P-CSI on PUCCH and SP-CSI on PUCCH collides.</w:t>
      </w:r>
      <w:r>
        <w:t xml:space="preserve"> </w:t>
      </w:r>
      <w:r w:rsidR="002E55D7">
        <w:t>Since both reports are transmitted on PUCCH in a periodic fashion, it may not always make sense to drop P-CSI in favour of SP-CSI, especially if the P-CSI report has a longer periodicity than the SP-CSI report. In fact, regardless of if the reports are P or SP, the dropping rule should be based on the periodicity such that the report with the shorter periodicity is dropped.</w:t>
      </w:r>
    </w:p>
    <w:p w14:paraId="796AA3EB" w14:textId="77979ED7" w:rsidR="000A3643" w:rsidRDefault="002E55D7" w:rsidP="00BC34FB">
      <w:pPr>
        <w:pStyle w:val="Proposal"/>
      </w:pPr>
      <w:bookmarkStart w:id="10" w:name="_Toc498726102"/>
      <w:r>
        <w:t>For P/SP CSI collisions where all colliding CSIs are transmitted on PUCCH, the CSI with the longest periodicity has priority while the other CSIs are dropped</w:t>
      </w:r>
      <w:bookmarkEnd w:id="10"/>
    </w:p>
    <w:p w14:paraId="52D0BF6D" w14:textId="76324957" w:rsidR="000A3643" w:rsidRDefault="007D390E" w:rsidP="000C67C8">
      <w:pPr>
        <w:pStyle w:val="BodyText"/>
      </w:pPr>
      <w:r>
        <w:t xml:space="preserve">The second open issue is what to do when Type II CSI collides with Type I CSI. For Type II CSI transmitted on PUSCH using aperiodic trigger, it should have priority over P/SP Type I CSI in accordance with the already agreed priority rules. When Type II SP-CSI is transmitted on long PUCCH, aperiodic </w:t>
      </w:r>
      <w:r w:rsidR="0093178A">
        <w:t>Type I</w:t>
      </w:r>
      <w:r>
        <w:t xml:space="preserve"> CSI on PUSCH should have priority.</w:t>
      </w:r>
      <w:r w:rsidR="0093178A">
        <w:t xml:space="preserve"> Therefore, the same priority rules can be used for cross-Type CSI collisions.</w:t>
      </w:r>
    </w:p>
    <w:p w14:paraId="3DCB7216" w14:textId="51EE6149" w:rsidR="007D390E" w:rsidRDefault="007D390E" w:rsidP="007D390E">
      <w:pPr>
        <w:pStyle w:val="Proposal"/>
      </w:pPr>
      <w:bookmarkStart w:id="11" w:name="_Toc498726103"/>
      <w:r>
        <w:t>Extend the</w:t>
      </w:r>
      <w:r w:rsidR="00667695">
        <w:t xml:space="preserve"> agreed priority rules for CSI collision in RAN1#90b also to when Type I and Type II CSI collides</w:t>
      </w:r>
      <w:bookmarkEnd w:id="11"/>
    </w:p>
    <w:p w14:paraId="0CED24CA" w14:textId="77777777" w:rsidR="00070A06" w:rsidRDefault="00070A06" w:rsidP="000A3643">
      <w:pPr>
        <w:pStyle w:val="BodyText"/>
        <w:ind w:left="720"/>
      </w:pPr>
    </w:p>
    <w:p w14:paraId="54B6E126" w14:textId="2307E20D" w:rsidR="000E176E" w:rsidRDefault="000E176E" w:rsidP="000E176E">
      <w:pPr>
        <w:pStyle w:val="Heading1"/>
        <w:rPr>
          <w:rFonts w:eastAsia="Calibri"/>
          <w:lang w:val="en-US"/>
        </w:rPr>
      </w:pPr>
      <w:r w:rsidRPr="000E176E">
        <w:rPr>
          <w:rFonts w:eastAsia="Calibri"/>
          <w:lang w:val="en-US"/>
        </w:rPr>
        <w:t>Remaining details on subband sizes</w:t>
      </w:r>
    </w:p>
    <w:p w14:paraId="0077C4A0" w14:textId="61927924" w:rsidR="00070A06" w:rsidRPr="00070A06" w:rsidRDefault="00070A06" w:rsidP="00070A06">
      <w:pPr>
        <w:rPr>
          <w:rFonts w:eastAsia="Calibri"/>
          <w:lang w:val="en-US"/>
        </w:rPr>
      </w:pPr>
      <w:r>
        <w:rPr>
          <w:rFonts w:eastAsia="Calibri"/>
          <w:lang w:val="en-US"/>
        </w:rPr>
        <w:t>In RAN1#90bis</w:t>
      </w:r>
      <w:r w:rsidR="00A96866">
        <w:rPr>
          <w:rFonts w:eastAsia="Calibri"/>
          <w:lang w:val="en-US"/>
        </w:rPr>
        <w:t xml:space="preserve"> it was agreed that subband size should be configurable between two possible BWP-dependent values:</w:t>
      </w:r>
    </w:p>
    <w:p w14:paraId="32C1B102" w14:textId="47753EF3" w:rsidR="00FD02F0" w:rsidRPr="001B6CD7" w:rsidRDefault="00FD02F0" w:rsidP="00FD02F0">
      <w:pPr>
        <w:rPr>
          <w:rFonts w:eastAsia="Calibri"/>
          <w:b/>
          <w:lang w:val="en-US"/>
        </w:rPr>
      </w:pPr>
      <w:r w:rsidRPr="001B6CD7">
        <w:rPr>
          <w:rFonts w:eastAsia="Calibri"/>
          <w:b/>
          <w:highlight w:val="green"/>
          <w:lang w:val="en-US"/>
        </w:rPr>
        <w:t>Agreement:</w:t>
      </w:r>
    </w:p>
    <w:p w14:paraId="4BB06315" w14:textId="77777777" w:rsidR="00FD02F0" w:rsidRDefault="00FD02F0" w:rsidP="00FD02F0">
      <w:pPr>
        <w:pStyle w:val="ListParagraph"/>
        <w:numPr>
          <w:ilvl w:val="0"/>
          <w:numId w:val="19"/>
        </w:numPr>
        <w:spacing w:after="0"/>
        <w:contextualSpacing w:val="0"/>
      </w:pPr>
      <w:r w:rsidRPr="00894697">
        <w:t>Adopt the following refined subband sizes</w:t>
      </w:r>
      <w: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4312"/>
      </w:tblGrid>
      <w:tr w:rsidR="00FD02F0" w14:paraId="0A48E9E7" w14:textId="77777777" w:rsidTr="00897A22">
        <w:tc>
          <w:tcPr>
            <w:tcW w:w="4455" w:type="dxa"/>
            <w:shd w:val="clear" w:color="auto" w:fill="auto"/>
            <w:vAlign w:val="center"/>
          </w:tcPr>
          <w:p w14:paraId="48D5EFCD"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Carrier bandwidth part (PRBs)</w:t>
            </w:r>
          </w:p>
        </w:tc>
        <w:tc>
          <w:tcPr>
            <w:tcW w:w="4456" w:type="dxa"/>
            <w:shd w:val="clear" w:color="auto" w:fill="auto"/>
            <w:vAlign w:val="center"/>
          </w:tcPr>
          <w:p w14:paraId="525D56C6"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 xml:space="preserve">Subband Size (PRBs): </w:t>
            </w:r>
          </w:p>
          <w:p w14:paraId="61D6D8D2"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FD02F0" w14:paraId="031ACC39" w14:textId="77777777" w:rsidTr="00897A22">
        <w:tc>
          <w:tcPr>
            <w:tcW w:w="4455" w:type="dxa"/>
            <w:shd w:val="clear" w:color="auto" w:fill="auto"/>
            <w:vAlign w:val="center"/>
          </w:tcPr>
          <w:p w14:paraId="2A41EED4"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24 – 60</w:t>
            </w:r>
          </w:p>
        </w:tc>
        <w:tc>
          <w:tcPr>
            <w:tcW w:w="4456" w:type="dxa"/>
            <w:shd w:val="clear" w:color="auto" w:fill="auto"/>
            <w:vAlign w:val="center"/>
          </w:tcPr>
          <w:p w14:paraId="3E73FF6D"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color w:val="FF0000"/>
                <w:sz w:val="22"/>
                <w:szCs w:val="22"/>
              </w:rPr>
              <w:t>4, [8]</w:t>
            </w:r>
          </w:p>
        </w:tc>
      </w:tr>
      <w:tr w:rsidR="00FD02F0" w14:paraId="7AACEDF5" w14:textId="77777777" w:rsidTr="00897A22">
        <w:tc>
          <w:tcPr>
            <w:tcW w:w="4455" w:type="dxa"/>
            <w:shd w:val="clear" w:color="auto" w:fill="auto"/>
            <w:vAlign w:val="center"/>
          </w:tcPr>
          <w:p w14:paraId="36194F18"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61 – 100</w:t>
            </w:r>
          </w:p>
        </w:tc>
        <w:tc>
          <w:tcPr>
            <w:tcW w:w="4456" w:type="dxa"/>
            <w:shd w:val="clear" w:color="auto" w:fill="auto"/>
            <w:vAlign w:val="center"/>
          </w:tcPr>
          <w:p w14:paraId="03FC21E5"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8, [16]</w:t>
            </w:r>
          </w:p>
        </w:tc>
      </w:tr>
      <w:tr w:rsidR="00FD02F0" w14:paraId="6569567B" w14:textId="77777777" w:rsidTr="00897A22">
        <w:tc>
          <w:tcPr>
            <w:tcW w:w="4455" w:type="dxa"/>
            <w:shd w:val="clear" w:color="auto" w:fill="auto"/>
            <w:vAlign w:val="center"/>
          </w:tcPr>
          <w:p w14:paraId="5731D0CE"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101 – 200</w:t>
            </w:r>
          </w:p>
        </w:tc>
        <w:tc>
          <w:tcPr>
            <w:tcW w:w="4456" w:type="dxa"/>
            <w:shd w:val="clear" w:color="auto" w:fill="auto"/>
            <w:vAlign w:val="center"/>
          </w:tcPr>
          <w:p w14:paraId="2D2451F8"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color w:val="FF0000"/>
                <w:sz w:val="22"/>
                <w:szCs w:val="22"/>
              </w:rPr>
              <w:t>[12], [24]</w:t>
            </w:r>
          </w:p>
        </w:tc>
      </w:tr>
      <w:tr w:rsidR="00FD02F0" w14:paraId="6E3990B0" w14:textId="77777777" w:rsidTr="00897A22">
        <w:tc>
          <w:tcPr>
            <w:tcW w:w="4455" w:type="dxa"/>
            <w:shd w:val="clear" w:color="auto" w:fill="auto"/>
            <w:vAlign w:val="center"/>
          </w:tcPr>
          <w:p w14:paraId="1527A027"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201 – 275</w:t>
            </w:r>
          </w:p>
        </w:tc>
        <w:tc>
          <w:tcPr>
            <w:tcW w:w="4456" w:type="dxa"/>
            <w:shd w:val="clear" w:color="auto" w:fill="auto"/>
            <w:vAlign w:val="center"/>
          </w:tcPr>
          <w:p w14:paraId="2C37A820" w14:textId="77777777" w:rsidR="00FD02F0" w:rsidRPr="00A858D1" w:rsidRDefault="00FD02F0" w:rsidP="00897A22">
            <w:pPr>
              <w:pStyle w:val="BodyText"/>
              <w:rPr>
                <w:rFonts w:ascii="Calibri" w:eastAsia="Calibri" w:hAnsi="Calibri"/>
                <w:sz w:val="22"/>
                <w:szCs w:val="22"/>
                <w:lang w:val="en-US"/>
              </w:rPr>
            </w:pPr>
            <w:r w:rsidRPr="00A858D1">
              <w:rPr>
                <w:rFonts w:ascii="Calibri" w:eastAsia="Calibri" w:hAnsi="Calibri"/>
                <w:sz w:val="22"/>
                <w:szCs w:val="22"/>
              </w:rPr>
              <w:t xml:space="preserve">16, [32] </w:t>
            </w:r>
          </w:p>
        </w:tc>
      </w:tr>
    </w:tbl>
    <w:p w14:paraId="3170B191" w14:textId="77777777" w:rsidR="00FD02F0" w:rsidRPr="00FD02F0" w:rsidRDefault="00FD02F0" w:rsidP="00FD02F0">
      <w:pPr>
        <w:pStyle w:val="BodyText"/>
        <w:numPr>
          <w:ilvl w:val="0"/>
          <w:numId w:val="20"/>
        </w:numPr>
        <w:rPr>
          <w:rFonts w:ascii="Calibri" w:eastAsia="Calibri" w:hAnsi="Calibri"/>
          <w:sz w:val="22"/>
          <w:szCs w:val="22"/>
          <w:highlight w:val="yellow"/>
          <w:lang w:val="en-US"/>
        </w:rPr>
      </w:pPr>
      <w:r w:rsidRPr="00FD02F0">
        <w:rPr>
          <w:rFonts w:ascii="Calibri" w:eastAsia="Calibri" w:hAnsi="Calibri"/>
          <w:sz w:val="22"/>
          <w:szCs w:val="22"/>
          <w:highlight w:val="yellow"/>
          <w:lang w:val="en-US"/>
        </w:rPr>
        <w:t>The 2</w:t>
      </w:r>
      <w:r w:rsidRPr="00FD02F0">
        <w:rPr>
          <w:rFonts w:ascii="Calibri" w:eastAsia="Calibri" w:hAnsi="Calibri"/>
          <w:sz w:val="22"/>
          <w:szCs w:val="22"/>
          <w:highlight w:val="yellow"/>
          <w:vertAlign w:val="superscript"/>
          <w:lang w:val="en-US"/>
        </w:rPr>
        <w:t>nd</w:t>
      </w:r>
      <w:r w:rsidRPr="00FD02F0">
        <w:rPr>
          <w:rFonts w:ascii="Calibri" w:eastAsia="Calibri" w:hAnsi="Calibri"/>
          <w:sz w:val="22"/>
          <w:szCs w:val="22"/>
          <w:highlight w:val="yellow"/>
          <w:lang w:val="en-US"/>
        </w:rPr>
        <w:t xml:space="preserve"> subband size values in brackets are to be confirmed or refined in RAN1#91 </w:t>
      </w:r>
    </w:p>
    <w:p w14:paraId="3A02CE36" w14:textId="0D9090FF" w:rsidR="00FD02F0" w:rsidRDefault="00A96866" w:rsidP="002611E7">
      <w:pPr>
        <w:pStyle w:val="BodyText"/>
        <w:rPr>
          <w:lang w:val="en-US"/>
        </w:rPr>
      </w:pPr>
      <w:r>
        <w:rPr>
          <w:lang w:val="en-US"/>
        </w:rPr>
        <w:t xml:space="preserve">As stated in the agreement, the values in brackets need to be confirmed or refined. This issue is discussed in our companion contribution </w:t>
      </w:r>
      <w:r w:rsidR="00E2025F">
        <w:rPr>
          <w:lang w:val="en-US"/>
        </w:rPr>
        <w:t>[1].</w:t>
      </w:r>
      <w:r w:rsidR="00496C88">
        <w:rPr>
          <w:lang w:val="en-US"/>
        </w:rPr>
        <w:t xml:space="preserve"> Our proposal is to adopt the refined subband sizes in </w:t>
      </w:r>
      <w:r w:rsidR="00496C88">
        <w:rPr>
          <w:lang w:val="en-US"/>
        </w:rPr>
        <w:fldChar w:fldCharType="begin"/>
      </w:r>
      <w:r w:rsidR="00496C88">
        <w:rPr>
          <w:lang w:val="en-US"/>
        </w:rPr>
        <w:instrText xml:space="preserve"> REF _Ref498416682 \h </w:instrText>
      </w:r>
      <w:r w:rsidR="00496C88">
        <w:rPr>
          <w:lang w:val="en-US"/>
        </w:rPr>
      </w:r>
      <w:r w:rsidR="00496C88">
        <w:rPr>
          <w:lang w:val="en-US"/>
        </w:rPr>
        <w:fldChar w:fldCharType="separate"/>
      </w:r>
      <w:r w:rsidR="00496C88">
        <w:t xml:space="preserve">Table </w:t>
      </w:r>
      <w:r w:rsidR="00496C88">
        <w:rPr>
          <w:noProof/>
        </w:rPr>
        <w:t>2</w:t>
      </w:r>
      <w:r w:rsidR="00496C88">
        <w:rPr>
          <w:lang w:val="en-US"/>
        </w:rPr>
        <w:fldChar w:fldCharType="end"/>
      </w:r>
      <w:r w:rsidR="00496C88">
        <w:rPr>
          <w:lang w:val="en-US"/>
        </w:rPr>
        <w:t xml:space="preserve"> below. However</w:t>
      </w:r>
      <w:r w:rsidR="00B6664C">
        <w:rPr>
          <w:lang w:val="en-US"/>
        </w:rPr>
        <w:t>,</w:t>
      </w:r>
      <w:r w:rsidR="00496C88">
        <w:rPr>
          <w:lang w:val="en-US"/>
        </w:rPr>
        <w:t xml:space="preserve"> </w:t>
      </w:r>
      <w:r w:rsidR="006448CA">
        <w:rPr>
          <w:lang w:val="en-US"/>
        </w:rPr>
        <w:t>further refinement may be needed depending on how the RBG sizes end up being defined.</w:t>
      </w:r>
    </w:p>
    <w:p w14:paraId="5AFE35F4" w14:textId="276D0FF0" w:rsidR="00496C88" w:rsidRDefault="00496C88" w:rsidP="00496C88">
      <w:pPr>
        <w:pStyle w:val="Caption"/>
      </w:pPr>
      <w:bookmarkStart w:id="12" w:name="_Ref498416682"/>
      <w:r>
        <w:t xml:space="preserve">Table </w:t>
      </w:r>
      <w:r>
        <w:fldChar w:fldCharType="begin"/>
      </w:r>
      <w:r>
        <w:instrText xml:space="preserve"> SEQ Table \* ARABIC </w:instrText>
      </w:r>
      <w:r>
        <w:fldChar w:fldCharType="separate"/>
      </w:r>
      <w:r w:rsidR="00A1353E">
        <w:rPr>
          <w:noProof/>
        </w:rPr>
        <w:t>2</w:t>
      </w:r>
      <w:r>
        <w:fldChar w:fldCharType="end"/>
      </w:r>
      <w:bookmarkEnd w:id="12"/>
      <w:r>
        <w:t>: Proposed refinement on subband sizes and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2258"/>
      </w:tblGrid>
      <w:tr w:rsidR="00496C88" w14:paraId="01F9A1C4" w14:textId="77777777" w:rsidTr="00046FBD">
        <w:trPr>
          <w:jc w:val="center"/>
        </w:trPr>
        <w:tc>
          <w:tcPr>
            <w:tcW w:w="2777" w:type="dxa"/>
            <w:shd w:val="clear" w:color="auto" w:fill="auto"/>
            <w:vAlign w:val="center"/>
          </w:tcPr>
          <w:p w14:paraId="6568B31F" w14:textId="77777777" w:rsidR="00496C88" w:rsidRPr="0068017C" w:rsidRDefault="00496C88" w:rsidP="00046FBD">
            <w:pPr>
              <w:pStyle w:val="BodyText"/>
              <w:rPr>
                <w:rFonts w:eastAsia="Calibri"/>
                <w:lang w:val="en-US"/>
              </w:rPr>
            </w:pPr>
            <w:r w:rsidRPr="0068017C">
              <w:rPr>
                <w:rFonts w:eastAsia="Calibri"/>
              </w:rPr>
              <w:lastRenderedPageBreak/>
              <w:t>Carrier bandwidth part (PRBs)</w:t>
            </w:r>
          </w:p>
        </w:tc>
        <w:tc>
          <w:tcPr>
            <w:tcW w:w="2258" w:type="dxa"/>
            <w:shd w:val="clear" w:color="auto" w:fill="auto"/>
            <w:vAlign w:val="center"/>
          </w:tcPr>
          <w:p w14:paraId="7CAC9229" w14:textId="77777777" w:rsidR="00496C88" w:rsidRPr="0068017C" w:rsidRDefault="00496C88" w:rsidP="00046FBD">
            <w:pPr>
              <w:pStyle w:val="BodyText"/>
              <w:rPr>
                <w:rFonts w:eastAsia="Calibri"/>
                <w:lang w:val="en-US"/>
              </w:rPr>
            </w:pPr>
            <w:r w:rsidRPr="0068017C">
              <w:rPr>
                <w:rFonts w:eastAsia="Calibri"/>
              </w:rPr>
              <w:t xml:space="preserve">Subband Size (PRBs): </w:t>
            </w:r>
          </w:p>
          <w:p w14:paraId="0370304D" w14:textId="77777777" w:rsidR="00496C88" w:rsidRPr="0068017C" w:rsidRDefault="00496C88" w:rsidP="00046FBD">
            <w:pPr>
              <w:pStyle w:val="BodyText"/>
              <w:rPr>
                <w:rFonts w:eastAsia="Calibri"/>
                <w:lang w:val="en-US"/>
              </w:rPr>
            </w:pPr>
            <w:r w:rsidRPr="0068017C">
              <w:rPr>
                <w:rFonts w:eastAsia="Calibri"/>
              </w:rPr>
              <w:t>1</w:t>
            </w:r>
            <w:r w:rsidRPr="0068017C">
              <w:rPr>
                <w:rFonts w:eastAsia="Calibri"/>
                <w:vertAlign w:val="superscript"/>
              </w:rPr>
              <w:t>st</w:t>
            </w:r>
            <w:r w:rsidRPr="0068017C">
              <w:rPr>
                <w:rFonts w:eastAsia="Calibri"/>
              </w:rPr>
              <w:t xml:space="preserve"> value, 2</w:t>
            </w:r>
            <w:r w:rsidRPr="0068017C">
              <w:rPr>
                <w:rFonts w:eastAsia="Calibri"/>
                <w:vertAlign w:val="superscript"/>
              </w:rPr>
              <w:t>nd</w:t>
            </w:r>
            <w:r w:rsidRPr="0068017C">
              <w:rPr>
                <w:rFonts w:eastAsia="Calibri"/>
              </w:rPr>
              <w:t xml:space="preserve"> value</w:t>
            </w:r>
          </w:p>
        </w:tc>
      </w:tr>
      <w:tr w:rsidR="00496C88" w14:paraId="46D7AE38" w14:textId="77777777" w:rsidTr="00046FBD">
        <w:trPr>
          <w:jc w:val="center"/>
        </w:trPr>
        <w:tc>
          <w:tcPr>
            <w:tcW w:w="2777" w:type="dxa"/>
            <w:shd w:val="clear" w:color="auto" w:fill="auto"/>
            <w:vAlign w:val="center"/>
          </w:tcPr>
          <w:p w14:paraId="60BF7A9F" w14:textId="77777777" w:rsidR="00496C88" w:rsidRPr="0068017C" w:rsidRDefault="00496C88" w:rsidP="00046FBD">
            <w:pPr>
              <w:pStyle w:val="BodyText"/>
              <w:rPr>
                <w:rFonts w:eastAsia="Calibri"/>
                <w:lang w:val="en-US"/>
              </w:rPr>
            </w:pPr>
            <w:r w:rsidRPr="0068017C">
              <w:rPr>
                <w:rFonts w:eastAsia="Calibri"/>
              </w:rPr>
              <w:t xml:space="preserve">24 – </w:t>
            </w:r>
            <w:r w:rsidRPr="00046FBD">
              <w:rPr>
                <w:rFonts w:eastAsia="Calibri"/>
                <w:strike/>
                <w:color w:val="FF0000"/>
              </w:rPr>
              <w:t>60</w:t>
            </w:r>
            <w:r>
              <w:rPr>
                <w:rFonts w:eastAsia="Calibri"/>
                <w:strike/>
                <w:color w:val="FF0000"/>
              </w:rPr>
              <w:t xml:space="preserve"> 59</w:t>
            </w:r>
          </w:p>
        </w:tc>
        <w:tc>
          <w:tcPr>
            <w:tcW w:w="2258" w:type="dxa"/>
            <w:shd w:val="clear" w:color="auto" w:fill="auto"/>
            <w:vAlign w:val="center"/>
          </w:tcPr>
          <w:p w14:paraId="2CD01C3A" w14:textId="594FBC0F" w:rsidR="00496C88" w:rsidRPr="003A287D" w:rsidRDefault="00496C88" w:rsidP="00046FBD">
            <w:pPr>
              <w:pStyle w:val="BodyText"/>
              <w:rPr>
                <w:rFonts w:eastAsia="Calibri"/>
                <w:lang w:val="en-US"/>
              </w:rPr>
            </w:pPr>
            <w:r w:rsidRPr="00046FBD">
              <w:rPr>
                <w:rFonts w:eastAsia="Calibri"/>
              </w:rPr>
              <w:t xml:space="preserve">4, </w:t>
            </w:r>
            <w:r>
              <w:rPr>
                <w:rFonts w:eastAsia="Calibri"/>
              </w:rPr>
              <w:t>8</w:t>
            </w:r>
          </w:p>
        </w:tc>
      </w:tr>
      <w:tr w:rsidR="00496C88" w14:paraId="6EC07EA1" w14:textId="77777777" w:rsidTr="00046FBD">
        <w:trPr>
          <w:jc w:val="center"/>
        </w:trPr>
        <w:tc>
          <w:tcPr>
            <w:tcW w:w="2777" w:type="dxa"/>
            <w:shd w:val="clear" w:color="auto" w:fill="auto"/>
            <w:vAlign w:val="center"/>
          </w:tcPr>
          <w:p w14:paraId="5B436951" w14:textId="77777777" w:rsidR="00496C88" w:rsidRPr="0068017C" w:rsidRDefault="00496C88" w:rsidP="00046FBD">
            <w:pPr>
              <w:pStyle w:val="BodyText"/>
              <w:rPr>
                <w:rFonts w:eastAsia="Calibri"/>
                <w:lang w:val="en-US"/>
              </w:rPr>
            </w:pPr>
            <w:r w:rsidRPr="00046FBD">
              <w:rPr>
                <w:rFonts w:eastAsia="Calibri"/>
                <w:strike/>
                <w:color w:val="FF0000"/>
              </w:rPr>
              <w:t>61</w:t>
            </w:r>
            <w:r>
              <w:rPr>
                <w:rFonts w:eastAsia="Calibri"/>
              </w:rPr>
              <w:t>60</w:t>
            </w:r>
            <w:r w:rsidRPr="0068017C">
              <w:rPr>
                <w:rFonts w:eastAsia="Calibri"/>
              </w:rPr>
              <w:t xml:space="preserve"> – </w:t>
            </w:r>
            <w:r w:rsidRPr="0068017C">
              <w:rPr>
                <w:rFonts w:eastAsia="Calibri"/>
                <w:strike/>
                <w:color w:val="FF0000"/>
              </w:rPr>
              <w:t>100</w:t>
            </w:r>
            <w:r w:rsidRPr="0068017C">
              <w:rPr>
                <w:rFonts w:eastAsia="Calibri"/>
              </w:rPr>
              <w:t xml:space="preserve"> 110</w:t>
            </w:r>
          </w:p>
        </w:tc>
        <w:tc>
          <w:tcPr>
            <w:tcW w:w="2258" w:type="dxa"/>
            <w:shd w:val="clear" w:color="auto" w:fill="auto"/>
            <w:vAlign w:val="center"/>
          </w:tcPr>
          <w:p w14:paraId="442C3380" w14:textId="4E9699F2" w:rsidR="00496C88" w:rsidRPr="00BC34FB" w:rsidRDefault="00496C88" w:rsidP="00046FBD">
            <w:pPr>
              <w:pStyle w:val="BodyText"/>
              <w:rPr>
                <w:rFonts w:eastAsia="Calibri"/>
                <w:color w:val="FF0000"/>
                <w:lang w:val="en-US"/>
              </w:rPr>
            </w:pPr>
            <w:r w:rsidRPr="003A287D">
              <w:rPr>
                <w:rFonts w:eastAsia="Calibri"/>
              </w:rPr>
              <w:t xml:space="preserve">8, </w:t>
            </w:r>
            <w:r>
              <w:rPr>
                <w:rFonts w:eastAsia="Calibri"/>
                <w:color w:val="FF0000"/>
              </w:rPr>
              <w:t>12</w:t>
            </w:r>
          </w:p>
        </w:tc>
      </w:tr>
      <w:tr w:rsidR="00496C88" w14:paraId="492A02F4" w14:textId="77777777" w:rsidTr="00046FBD">
        <w:trPr>
          <w:jc w:val="center"/>
        </w:trPr>
        <w:tc>
          <w:tcPr>
            <w:tcW w:w="2777" w:type="dxa"/>
            <w:shd w:val="clear" w:color="auto" w:fill="auto"/>
            <w:vAlign w:val="center"/>
          </w:tcPr>
          <w:p w14:paraId="69C6CB1D" w14:textId="77777777" w:rsidR="00496C88" w:rsidRPr="0068017C" w:rsidRDefault="00496C88" w:rsidP="00046FBD">
            <w:pPr>
              <w:pStyle w:val="BodyText"/>
              <w:rPr>
                <w:rFonts w:eastAsia="Calibri"/>
                <w:lang w:val="en-US"/>
              </w:rPr>
            </w:pPr>
            <w:r w:rsidRPr="0068017C">
              <w:rPr>
                <w:rFonts w:eastAsia="Calibri"/>
                <w:strike/>
                <w:color w:val="FF0000"/>
              </w:rPr>
              <w:t>101</w:t>
            </w:r>
            <w:r w:rsidRPr="0068017C">
              <w:rPr>
                <w:rFonts w:eastAsia="Calibri"/>
              </w:rPr>
              <w:t xml:space="preserve"> 111 – 200</w:t>
            </w:r>
          </w:p>
        </w:tc>
        <w:tc>
          <w:tcPr>
            <w:tcW w:w="2258" w:type="dxa"/>
            <w:shd w:val="clear" w:color="auto" w:fill="auto"/>
            <w:vAlign w:val="center"/>
          </w:tcPr>
          <w:p w14:paraId="0A6B15A5" w14:textId="0300FEE7" w:rsidR="00496C88" w:rsidRPr="003A287D" w:rsidRDefault="00496C88" w:rsidP="00046FBD">
            <w:pPr>
              <w:pStyle w:val="BodyText"/>
              <w:rPr>
                <w:rFonts w:eastAsia="Calibri"/>
                <w:lang w:val="en-US"/>
              </w:rPr>
            </w:pPr>
            <w:r>
              <w:rPr>
                <w:rFonts w:eastAsia="Calibri"/>
              </w:rPr>
              <w:t>12</w:t>
            </w:r>
            <w:r w:rsidRPr="00046FBD">
              <w:rPr>
                <w:rFonts w:eastAsia="Calibri"/>
              </w:rPr>
              <w:t xml:space="preserve">, </w:t>
            </w:r>
            <w:r w:rsidRPr="00BC34FB">
              <w:rPr>
                <w:rFonts w:eastAsia="Calibri"/>
                <w:color w:val="FF0000"/>
              </w:rPr>
              <w:t>16</w:t>
            </w:r>
          </w:p>
        </w:tc>
      </w:tr>
      <w:tr w:rsidR="00496C88" w14:paraId="0CD82CAC" w14:textId="77777777" w:rsidTr="00046FBD">
        <w:trPr>
          <w:jc w:val="center"/>
        </w:trPr>
        <w:tc>
          <w:tcPr>
            <w:tcW w:w="2777" w:type="dxa"/>
            <w:shd w:val="clear" w:color="auto" w:fill="auto"/>
            <w:vAlign w:val="center"/>
          </w:tcPr>
          <w:p w14:paraId="6BC02454" w14:textId="77777777" w:rsidR="00496C88" w:rsidRPr="0068017C" w:rsidRDefault="00496C88" w:rsidP="00046FBD">
            <w:pPr>
              <w:pStyle w:val="BodyText"/>
              <w:rPr>
                <w:rFonts w:eastAsia="Calibri"/>
                <w:lang w:val="en-US"/>
              </w:rPr>
            </w:pPr>
            <w:r w:rsidRPr="0068017C">
              <w:rPr>
                <w:rFonts w:eastAsia="Calibri"/>
              </w:rPr>
              <w:t>201 – 275</w:t>
            </w:r>
          </w:p>
        </w:tc>
        <w:tc>
          <w:tcPr>
            <w:tcW w:w="2258" w:type="dxa"/>
            <w:shd w:val="clear" w:color="auto" w:fill="auto"/>
            <w:vAlign w:val="center"/>
          </w:tcPr>
          <w:p w14:paraId="453E949D" w14:textId="36E5D717" w:rsidR="00496C88" w:rsidRPr="0068017C" w:rsidRDefault="00496C88" w:rsidP="00046FBD">
            <w:pPr>
              <w:pStyle w:val="BodyText"/>
              <w:rPr>
                <w:rFonts w:eastAsia="Calibri"/>
                <w:lang w:val="en-US"/>
              </w:rPr>
            </w:pPr>
            <w:r>
              <w:rPr>
                <w:rFonts w:eastAsia="Calibri"/>
              </w:rPr>
              <w:t>16, 32</w:t>
            </w:r>
          </w:p>
        </w:tc>
      </w:tr>
    </w:tbl>
    <w:p w14:paraId="5C366998" w14:textId="77777777" w:rsidR="00496C88" w:rsidRDefault="00496C88" w:rsidP="00496C88">
      <w:pPr>
        <w:pStyle w:val="Proposal"/>
        <w:numPr>
          <w:ilvl w:val="0"/>
          <w:numId w:val="0"/>
        </w:numPr>
        <w:ind w:left="1701"/>
      </w:pPr>
    </w:p>
    <w:p w14:paraId="5F5652D3" w14:textId="4BA93619" w:rsidR="00A96866" w:rsidRDefault="006448CA" w:rsidP="00BC34FB">
      <w:pPr>
        <w:pStyle w:val="Proposal"/>
        <w:rPr>
          <w:lang w:val="en-US"/>
        </w:rPr>
      </w:pPr>
      <w:bookmarkStart w:id="13" w:name="_Toc498726104"/>
      <w:r>
        <w:rPr>
          <w:lang w:val="en-US"/>
        </w:rPr>
        <w:t xml:space="preserve">Adopt the refined subband sizes and ranges in </w:t>
      </w:r>
      <w:r>
        <w:rPr>
          <w:lang w:val="en-US"/>
        </w:rPr>
        <w:fldChar w:fldCharType="begin"/>
      </w:r>
      <w:r>
        <w:rPr>
          <w:lang w:val="en-US"/>
        </w:rPr>
        <w:instrText xml:space="preserve"> REF _Ref498416682 \h </w:instrText>
      </w:r>
      <w:r>
        <w:rPr>
          <w:lang w:val="en-US"/>
        </w:rPr>
      </w:r>
      <w:r>
        <w:rPr>
          <w:lang w:val="en-US"/>
        </w:rPr>
        <w:fldChar w:fldCharType="separate"/>
      </w:r>
      <w:r>
        <w:t xml:space="preserve">Table </w:t>
      </w:r>
      <w:r>
        <w:rPr>
          <w:noProof/>
        </w:rPr>
        <w:t>2</w:t>
      </w:r>
      <w:bookmarkEnd w:id="13"/>
      <w:r>
        <w:rPr>
          <w:lang w:val="en-US"/>
        </w:rPr>
        <w:fldChar w:fldCharType="end"/>
      </w:r>
    </w:p>
    <w:p w14:paraId="358D3127" w14:textId="77777777" w:rsidR="006448CA" w:rsidRDefault="006448CA" w:rsidP="00BC34FB">
      <w:pPr>
        <w:pStyle w:val="Proposal"/>
        <w:numPr>
          <w:ilvl w:val="0"/>
          <w:numId w:val="0"/>
        </w:numPr>
        <w:rPr>
          <w:lang w:val="en-US"/>
        </w:rPr>
      </w:pPr>
    </w:p>
    <w:p w14:paraId="1A9A160D" w14:textId="4DFA41FD" w:rsidR="000E176E" w:rsidRDefault="006A4F94" w:rsidP="000E176E">
      <w:pPr>
        <w:pStyle w:val="Heading1"/>
        <w:rPr>
          <w:lang w:val="en-US"/>
        </w:rPr>
      </w:pPr>
      <w:r>
        <w:rPr>
          <w:lang w:val="en-US"/>
        </w:rPr>
        <w:t>Indication of PTRS strongest layer in CSI feedback</w:t>
      </w:r>
    </w:p>
    <w:p w14:paraId="30F638BA" w14:textId="459C8FDE" w:rsidR="00940B78" w:rsidRDefault="00FD02F0" w:rsidP="00940B78">
      <w:pPr>
        <w:pStyle w:val="BodyText"/>
      </w:pPr>
      <w:r>
        <w:rPr>
          <w:lang w:val="en-US"/>
        </w:rPr>
        <w:t>Furthermore, in P</w:t>
      </w:r>
      <w:r w:rsidR="00940B78">
        <w:rPr>
          <w:lang w:val="en-US"/>
        </w:rPr>
        <w:t xml:space="preserve">TRS session, it has been agreed to report preferred PTRS layer in UCI as part of </w:t>
      </w:r>
      <w:r w:rsidR="00E2025F">
        <w:rPr>
          <w:lang w:val="en-US"/>
        </w:rPr>
        <w:t xml:space="preserve">the </w:t>
      </w:r>
      <w:r w:rsidR="00940B78">
        <w:rPr>
          <w:lang w:val="en-US"/>
        </w:rPr>
        <w:t>CSI report:</w:t>
      </w:r>
    </w:p>
    <w:p w14:paraId="0780B3E9" w14:textId="2A31A037" w:rsidR="00940B78" w:rsidRDefault="00940B78" w:rsidP="00940B78">
      <w:pPr>
        <w:rPr>
          <w:lang w:val="en-US"/>
        </w:rPr>
      </w:pPr>
      <w:r w:rsidRPr="001B6CD7">
        <w:rPr>
          <w:rFonts w:eastAsia="Calibri"/>
          <w:b/>
          <w:highlight w:val="green"/>
          <w:lang w:val="en-US"/>
        </w:rPr>
        <w:t>Agreement</w:t>
      </w:r>
      <w:bookmarkStart w:id="14" w:name="_GoBack"/>
      <w:bookmarkEnd w:id="14"/>
      <w:r w:rsidRPr="001B6CD7">
        <w:rPr>
          <w:rFonts w:eastAsia="Calibri"/>
          <w:b/>
          <w:highlight w:val="green"/>
          <w:lang w:val="en-US"/>
        </w:rPr>
        <w:t>:</w:t>
      </w:r>
    </w:p>
    <w:p w14:paraId="5AE9DFCD" w14:textId="77777777" w:rsidR="00786A90" w:rsidRPr="00940B78" w:rsidRDefault="00DE0554" w:rsidP="00FD02F0">
      <w:pPr>
        <w:pStyle w:val="BodyText"/>
        <w:numPr>
          <w:ilvl w:val="0"/>
          <w:numId w:val="28"/>
        </w:numPr>
        <w:rPr>
          <w:highlight w:val="yellow"/>
          <w:lang w:val="en-US"/>
        </w:rPr>
      </w:pPr>
      <w:r w:rsidRPr="00FD02F0">
        <w:rPr>
          <w:lang w:val="en-US"/>
        </w:rPr>
        <w:t xml:space="preserve">For CP-OFDM, support UE to report the desired maximum number of UL PTRS ports as UE capability and </w:t>
      </w:r>
      <w:r w:rsidRPr="00940B78">
        <w:rPr>
          <w:highlight w:val="yellow"/>
          <w:lang w:val="en-US"/>
        </w:rPr>
        <w:t>report the preferred DL layer, in case of 2 CW, report the preferred DL layer within the CW with higher CQI in UCI</w:t>
      </w:r>
    </w:p>
    <w:p w14:paraId="593BADE3" w14:textId="77777777" w:rsidR="00786A90" w:rsidRPr="00FD02F0" w:rsidRDefault="00DE0554" w:rsidP="00FD02F0">
      <w:pPr>
        <w:pStyle w:val="BodyText"/>
        <w:numPr>
          <w:ilvl w:val="2"/>
          <w:numId w:val="28"/>
        </w:numPr>
        <w:rPr>
          <w:lang w:val="en-US"/>
        </w:rPr>
      </w:pPr>
      <w:r w:rsidRPr="00FD02F0">
        <w:rPr>
          <w:lang w:val="en-US"/>
        </w:rPr>
        <w:t>Note: The maximum number of UL PTRS ports can reflect the number of oscillators at this UE</w:t>
      </w:r>
    </w:p>
    <w:p w14:paraId="7C85E896" w14:textId="77777777" w:rsidR="00FD02F0" w:rsidRPr="00FD02F0" w:rsidRDefault="00FD02F0" w:rsidP="002611E7">
      <w:pPr>
        <w:pStyle w:val="BodyText"/>
        <w:rPr>
          <w:lang w:val="en-US"/>
        </w:rPr>
      </w:pPr>
    </w:p>
    <w:p w14:paraId="3AEABD9B" w14:textId="1F3AA514" w:rsidR="006A4F94" w:rsidRDefault="00E2025F">
      <w:pPr>
        <w:pStyle w:val="BodyText"/>
        <w:rPr>
          <w:lang w:val="en-US"/>
        </w:rPr>
      </w:pPr>
      <w:r>
        <w:t>Decision is needed in CSI reporting session how the preferred DL layer should be incorporated in the CSI report.</w:t>
      </w:r>
      <w:r w:rsidR="00D06B63">
        <w:t xml:space="preserve"> This is discussed in detail in our PTRS paper </w:t>
      </w:r>
      <w:r w:rsidR="006A4F94">
        <w:t>[2].</w:t>
      </w:r>
      <w:r w:rsidR="0042588E" w:rsidDel="0042588E">
        <w:t xml:space="preserve"> </w:t>
      </w:r>
      <w:r w:rsidR="0042588E">
        <w:t>Essentially,</w:t>
      </w:r>
      <w:r w:rsidR="000736AC">
        <w:t xml:space="preserve"> to indicate the preferred DL layer in the CW with the highest CQI, one can use a Column Permutation Indicator (CPI) which permutates the column of the precoder so that the strongest layer is always the first one. The CPI</w:t>
      </w:r>
      <w:r w:rsidR="000736AC">
        <w:rPr>
          <w:lang w:val="en-US"/>
        </w:rPr>
        <w:t xml:space="preserve"> can take values between 0-3. As the possible values of the CPI depends on the RI (e.g. for rank 1, the CPI can only take 1 value), it would benefit from being jointly encoded with the RI in the CSI report. To limit the additional overhead, at most one additional bit should be allowed for joint CPI/RI field compared to standalone RI field. The mapping of CPI/RI states to the field should also take into account the rank restriction, as per RAN1 agreement, RI payload depends on rank restriction. Of course, the CPI would only be present if configured in the CSI report setting, otherwise single RI field should be used.</w:t>
      </w:r>
    </w:p>
    <w:p w14:paraId="28E3E0A9" w14:textId="05756823" w:rsidR="00684AB8" w:rsidRPr="0097506D" w:rsidRDefault="000736AC" w:rsidP="00BC34FB">
      <w:pPr>
        <w:pStyle w:val="Proposal"/>
        <w:rPr>
          <w:lang w:val="en-US"/>
        </w:rPr>
      </w:pPr>
      <w:bookmarkStart w:id="15" w:name="_Toc498726105"/>
      <w:r w:rsidRPr="0097506D">
        <w:rPr>
          <w:lang w:val="en-US"/>
        </w:rPr>
        <w:t>If configured to be present</w:t>
      </w:r>
      <w:r w:rsidRPr="00BC34FB">
        <w:rPr>
          <w:lang w:val="en-US"/>
        </w:rPr>
        <w:t xml:space="preserve"> for a CSI report setting, the </w:t>
      </w:r>
      <w:r w:rsidRPr="00BC34FB">
        <w:rPr>
          <w:i/>
          <w:lang w:val="en-US"/>
        </w:rPr>
        <w:t>indicator of strongest DL layer within the CW with highest CQI</w:t>
      </w:r>
      <w:r w:rsidRPr="0097506D">
        <w:rPr>
          <w:lang w:val="en-US"/>
        </w:rPr>
        <w:t xml:space="preserve"> for DL PTRS</w:t>
      </w:r>
      <w:r w:rsidRPr="00BC34FB">
        <w:rPr>
          <w:lang w:val="en-US"/>
        </w:rPr>
        <w:t xml:space="preserve"> port mapping purpose, the so called CPI, is jointly encoded with RI into a single field using at most one additional bit compared to standalone RI field</w:t>
      </w:r>
      <w:bookmarkStart w:id="16" w:name="_Toc498726106"/>
      <w:bookmarkEnd w:id="15"/>
      <w:bookmarkEnd w:id="16"/>
    </w:p>
    <w:p w14:paraId="7AF3B08C" w14:textId="05DA689A" w:rsidR="009F3AC9" w:rsidRPr="006A4F94" w:rsidRDefault="000736AC" w:rsidP="00BF7642">
      <w:pPr>
        <w:pStyle w:val="BodyText"/>
        <w:rPr>
          <w:lang w:val="en-US"/>
        </w:rPr>
      </w:pPr>
      <w:r>
        <w:rPr>
          <w:lang w:val="en-US"/>
        </w:rPr>
        <w:t>For further details of the proposal, we refer to [2].</w:t>
      </w:r>
    </w:p>
    <w:p w14:paraId="4B7AD46F" w14:textId="79DEFCCC" w:rsidR="000E176E" w:rsidRDefault="000E176E" w:rsidP="000E176E">
      <w:pPr>
        <w:pStyle w:val="Heading1"/>
      </w:pPr>
      <w:r>
        <w:t>CSI report timing offsets on PUSCH</w:t>
      </w:r>
    </w:p>
    <w:p w14:paraId="7A95189D" w14:textId="10F50C82" w:rsidR="000E176E" w:rsidRDefault="00B20FB6" w:rsidP="000E176E">
      <w:r>
        <w:t xml:space="preserve">In RAN1#90 there was some discussion around </w:t>
      </w:r>
      <w:r w:rsidR="005E7CBE">
        <w:t xml:space="preserve">the </w:t>
      </w:r>
      <w:r w:rsidR="009F3AC9">
        <w:t>PUSCH timing offsets Y for PUSCH containing CSI report, but no conclusion was made. It has been agreed to indicate the PUSCH timing offset value with a [2-3] bit indicator in the DCI. This gives plenty of flexibility to indicate different PUSCH offsets to ensure that sufficient processing time can be given to the UE to calculate the CSI report(s). Thus, the same set of RRC configured Y-values can be used for PUSCH with and without CSI.</w:t>
      </w:r>
    </w:p>
    <w:p w14:paraId="23ED974B" w14:textId="65EE056D" w:rsidR="009F3AC9" w:rsidRDefault="009F3AC9" w:rsidP="009F3AC9">
      <w:pPr>
        <w:pStyle w:val="Proposal"/>
      </w:pPr>
      <w:bookmarkStart w:id="17" w:name="_Toc498726107"/>
      <w:r>
        <w:t>The same set of RRC configur</w:t>
      </w:r>
      <w:r w:rsidR="004315C9">
        <w:t>ed PUSCH timing offsets Y is used for PUSCH with and without piggybacked CSI</w:t>
      </w:r>
      <w:bookmarkEnd w:id="17"/>
    </w:p>
    <w:p w14:paraId="58078FC7" w14:textId="10319E07" w:rsidR="00897A22" w:rsidRDefault="00897A22" w:rsidP="00897A22">
      <w:pPr>
        <w:rPr>
          <w:rFonts w:eastAsiaTheme="minorHAnsi"/>
          <w:u w:val="single"/>
          <w:lang w:val="en-US"/>
        </w:rPr>
      </w:pPr>
      <w:bookmarkStart w:id="18" w:name="_Ref178064866"/>
    </w:p>
    <w:p w14:paraId="5A881BFA" w14:textId="14EAAD2F" w:rsidR="008D0EAB" w:rsidRDefault="008D0EAB" w:rsidP="008D0EAB">
      <w:pPr>
        <w:pStyle w:val="Heading1"/>
        <w:rPr>
          <w:rFonts w:eastAsiaTheme="minorHAnsi"/>
          <w:lang w:val="en-US"/>
        </w:rPr>
      </w:pPr>
      <w:r>
        <w:rPr>
          <w:rFonts w:eastAsiaTheme="minorHAnsi"/>
          <w:lang w:val="en-US"/>
        </w:rPr>
        <w:lastRenderedPageBreak/>
        <w:t>Semi-persistent CSI reporting on PUCCH</w:t>
      </w:r>
    </w:p>
    <w:p w14:paraId="0A02A0B2" w14:textId="47C482BC" w:rsidR="008D0EAB" w:rsidRDefault="008D0EAB" w:rsidP="008D0EAB">
      <w:pPr>
        <w:rPr>
          <w:rFonts w:eastAsiaTheme="minorHAnsi"/>
          <w:lang w:val="en-US"/>
        </w:rPr>
      </w:pPr>
      <w:r>
        <w:rPr>
          <w:rFonts w:eastAsiaTheme="minorHAnsi"/>
          <w:lang w:val="en-US"/>
        </w:rPr>
        <w:t>While it has been agreed that SP-CSI reporting on PUSCH is activated via DCI using LTE SPS-like mechanism, it is still not decided how SP-CSI reporting on PUCCH is activated. There are two options:</w:t>
      </w:r>
    </w:p>
    <w:p w14:paraId="58D85424" w14:textId="5C885BA8" w:rsidR="008D0EAB" w:rsidRDefault="008D0EAB" w:rsidP="008D0EAB">
      <w:pPr>
        <w:pStyle w:val="ListParagraph"/>
        <w:numPr>
          <w:ilvl w:val="0"/>
          <w:numId w:val="35"/>
        </w:numPr>
        <w:rPr>
          <w:rFonts w:eastAsiaTheme="minorHAnsi"/>
          <w:lang w:val="en-US"/>
        </w:rPr>
      </w:pPr>
      <w:r>
        <w:rPr>
          <w:rFonts w:eastAsiaTheme="minorHAnsi"/>
          <w:lang w:val="en-US"/>
        </w:rPr>
        <w:t>SP-CSI reporting on PUCCH is activated with MAC CE</w:t>
      </w:r>
    </w:p>
    <w:p w14:paraId="5E645456" w14:textId="0D48C713" w:rsidR="008D0EAB" w:rsidRDefault="008D0EAB" w:rsidP="008D0EAB">
      <w:pPr>
        <w:pStyle w:val="ListParagraph"/>
        <w:numPr>
          <w:ilvl w:val="0"/>
          <w:numId w:val="35"/>
        </w:numPr>
        <w:rPr>
          <w:rFonts w:eastAsiaTheme="minorHAnsi"/>
          <w:lang w:val="en-US"/>
        </w:rPr>
      </w:pPr>
      <w:r>
        <w:rPr>
          <w:rFonts w:eastAsiaTheme="minorHAnsi"/>
          <w:lang w:val="en-US"/>
        </w:rPr>
        <w:t>SP-CSI reporting on PUCCH is activated with DCI</w:t>
      </w:r>
    </w:p>
    <w:p w14:paraId="6A6E9BA7" w14:textId="3AA555FC" w:rsidR="00DF1EC4" w:rsidRDefault="00DF1EC4" w:rsidP="008D0EAB">
      <w:pPr>
        <w:rPr>
          <w:rFonts w:eastAsiaTheme="minorHAnsi"/>
          <w:lang w:val="en-US"/>
        </w:rPr>
      </w:pPr>
      <w:r>
        <w:rPr>
          <w:rFonts w:eastAsiaTheme="minorHAnsi"/>
          <w:lang w:val="en-US"/>
        </w:rPr>
        <w:t>On one hand, it can be argued that as SP CSI-RS is activated with MAC CE, SP-CSI reporting on PUCCH should be activated with a similar mechanism. On the other hand, SP-CSI reporting on PUSCH is activated via DCI, so to be consistent, the PUCCH based report should be activated with DCI as well. If we go with option 2, the issue is how to distinguish between a PUCCH based and PUSCH based CSI reporting activation. One alternative is to optionally configure a PUCCH resource in the ReportConfig for an SP CSI report. If the activated report does not contain a configuration of a PUCCH resource, PUSCH is used to carry the report, and vice versa. Another option is to use different CRC scrambling of the DCI carrying the activation message</w:t>
      </w:r>
      <w:r w:rsidR="0070231B">
        <w:rPr>
          <w:rFonts w:eastAsiaTheme="minorHAnsi"/>
          <w:lang w:val="en-US"/>
        </w:rPr>
        <w:t>, so that SP CSI on PUSCH is activated with DCI CRC-scrambled with SP-CSI C-RNTI while a PUCCH based report is activated with a</w:t>
      </w:r>
      <w:r w:rsidR="0070231B" w:rsidRPr="0070231B">
        <w:rPr>
          <w:rFonts w:eastAsiaTheme="minorHAnsi"/>
          <w:lang w:val="en-US"/>
        </w:rPr>
        <w:t xml:space="preserve"> </w:t>
      </w:r>
      <w:r w:rsidR="0070231B">
        <w:rPr>
          <w:rFonts w:eastAsiaTheme="minorHAnsi"/>
          <w:lang w:val="en-US"/>
        </w:rPr>
        <w:t>DCI CRC-scrambled with C-RNTI. Even if this is the case, one still has to distinguish A-CSI triggers with SP-CSI activations somehow. But this can be done by associating different codepoints in the CSI request field with either A-CSI or SP-CSI reports. As SP-CSI reports triggers do not also need to trigger different NZP sets, as A-CSI triggers do, the number of possible codepoints required for SP-CSI report activation may be small. Hence, DCI-based activation is slightly preferred.</w:t>
      </w:r>
    </w:p>
    <w:p w14:paraId="73E07085" w14:textId="14A4B4AB" w:rsidR="0070231B" w:rsidRDefault="0070231B" w:rsidP="00BC34FB">
      <w:pPr>
        <w:pStyle w:val="Proposal"/>
        <w:rPr>
          <w:rFonts w:eastAsiaTheme="minorHAnsi"/>
          <w:lang w:val="en-US"/>
        </w:rPr>
      </w:pPr>
      <w:bookmarkStart w:id="19" w:name="_Toc498726108"/>
      <w:r>
        <w:rPr>
          <w:rFonts w:eastAsiaTheme="minorHAnsi"/>
          <w:lang w:val="en-US"/>
        </w:rPr>
        <w:t>SP-CSI reporting on PUCCH is activated with DCI</w:t>
      </w:r>
      <w:bookmarkEnd w:id="19"/>
    </w:p>
    <w:p w14:paraId="3C09E16B" w14:textId="279BC811" w:rsidR="008D0EAB" w:rsidRDefault="008D0EAB" w:rsidP="008D0EAB">
      <w:pPr>
        <w:rPr>
          <w:rFonts w:eastAsiaTheme="minorHAnsi"/>
          <w:lang w:val="en-US"/>
        </w:rPr>
      </w:pPr>
      <w:r>
        <w:rPr>
          <w:rFonts w:eastAsiaTheme="minorHAnsi"/>
          <w:lang w:val="en-US"/>
        </w:rPr>
        <w:t>While SP-CSI reporting on PUSCH allows for dynamic link adaptation and variabl</w:t>
      </w:r>
      <w:r w:rsidR="00D43D09">
        <w:rPr>
          <w:rFonts w:eastAsiaTheme="minorHAnsi"/>
          <w:lang w:val="en-US"/>
        </w:rPr>
        <w:t xml:space="preserve">e </w:t>
      </w:r>
      <w:r>
        <w:rPr>
          <w:rFonts w:eastAsiaTheme="minorHAnsi"/>
          <w:lang w:val="en-US"/>
        </w:rPr>
        <w:t xml:space="preserve"> </w:t>
      </w:r>
      <w:r w:rsidR="0018723E">
        <w:rPr>
          <w:rFonts w:eastAsiaTheme="minorHAnsi"/>
          <w:lang w:val="en-US"/>
        </w:rPr>
        <w:t>CSI payload</w:t>
      </w:r>
      <w:r w:rsidR="00D43D09">
        <w:rPr>
          <w:rFonts w:eastAsiaTheme="minorHAnsi"/>
          <w:lang w:val="en-US"/>
        </w:rPr>
        <w:t xml:space="preserve"> size</w:t>
      </w:r>
      <w:r w:rsidR="0018723E">
        <w:rPr>
          <w:rFonts w:eastAsiaTheme="minorHAnsi"/>
          <w:lang w:val="en-US"/>
        </w:rPr>
        <w:t xml:space="preserve">, SP-CSI reporting on PUCCH is more similar to periodic reporting in its nature. Therefore, it could make sense to use a semi-statically configured PUCCH resource for SP-CSI and avoid having to indicate the PUCCH resource dynamically in the activation message. </w:t>
      </w:r>
    </w:p>
    <w:p w14:paraId="71CCEBC1" w14:textId="05DA334A" w:rsidR="0070231B" w:rsidRDefault="00086B54" w:rsidP="00BC34FB">
      <w:pPr>
        <w:pStyle w:val="Proposal"/>
        <w:rPr>
          <w:rFonts w:eastAsiaTheme="minorHAnsi"/>
          <w:lang w:val="en-US"/>
        </w:rPr>
      </w:pPr>
      <w:bookmarkStart w:id="20" w:name="_Toc498726109"/>
      <w:r>
        <w:rPr>
          <w:rFonts w:eastAsiaTheme="minorHAnsi"/>
          <w:lang w:val="en-US"/>
        </w:rPr>
        <w:t>SP-CSI reporting on PUCCH uses semi-statically configured PUCCH resources</w:t>
      </w:r>
      <w:bookmarkEnd w:id="20"/>
    </w:p>
    <w:p w14:paraId="2E1BE0AC" w14:textId="77777777" w:rsidR="0070231B" w:rsidRDefault="0070231B" w:rsidP="008D0EAB">
      <w:pPr>
        <w:rPr>
          <w:rFonts w:eastAsiaTheme="minorHAnsi"/>
          <w:lang w:val="en-US"/>
        </w:rPr>
      </w:pPr>
    </w:p>
    <w:p w14:paraId="19BD2EF6" w14:textId="49C38C69" w:rsidR="00897A22" w:rsidRDefault="00897A22" w:rsidP="00897A22">
      <w:pPr>
        <w:pStyle w:val="Heading1"/>
        <w:rPr>
          <w:rFonts w:eastAsiaTheme="minorHAnsi"/>
          <w:lang w:val="en-US"/>
        </w:rPr>
      </w:pPr>
      <w:r>
        <w:rPr>
          <w:rFonts w:eastAsiaTheme="minorHAnsi"/>
          <w:lang w:val="en-US"/>
        </w:rPr>
        <w:t>Aperiodic CSI reporting on short PUCCH</w:t>
      </w:r>
    </w:p>
    <w:p w14:paraId="6DEE629F" w14:textId="53016155" w:rsidR="00897A22" w:rsidRDefault="00897A22" w:rsidP="00897A22">
      <w:pPr>
        <w:rPr>
          <w:rFonts w:eastAsiaTheme="minorHAnsi"/>
          <w:lang w:val="en-US"/>
        </w:rPr>
      </w:pPr>
      <w:r>
        <w:rPr>
          <w:rFonts w:eastAsiaTheme="minorHAnsi"/>
          <w:lang w:val="en-US"/>
        </w:rPr>
        <w:t>After email discussion, it was concluded to decide</w:t>
      </w:r>
      <w:r w:rsidR="00F26789">
        <w:rPr>
          <w:rFonts w:eastAsiaTheme="minorHAnsi"/>
          <w:lang w:val="en-US"/>
        </w:rPr>
        <w:t xml:space="preserve"> the</w:t>
      </w:r>
      <w:r>
        <w:rPr>
          <w:rFonts w:eastAsiaTheme="minorHAnsi"/>
          <w:lang w:val="en-US"/>
        </w:rPr>
        <w:t xml:space="preserve"> exact triggering mechanism </w:t>
      </w:r>
      <w:r w:rsidR="00F26789">
        <w:rPr>
          <w:rFonts w:eastAsiaTheme="minorHAnsi"/>
          <w:lang w:val="en-US"/>
        </w:rPr>
        <w:t xml:space="preserve">for A-CSI on short PUCCH </w:t>
      </w:r>
      <w:r>
        <w:rPr>
          <w:rFonts w:eastAsiaTheme="minorHAnsi"/>
          <w:lang w:val="en-US"/>
        </w:rPr>
        <w:t>(</w:t>
      </w:r>
      <w:r w:rsidR="00F26789">
        <w:rPr>
          <w:rFonts w:eastAsiaTheme="minorHAnsi"/>
          <w:lang w:val="en-US"/>
        </w:rPr>
        <w:t xml:space="preserve">i.e. </w:t>
      </w:r>
      <w:r>
        <w:rPr>
          <w:rFonts w:eastAsiaTheme="minorHAnsi"/>
          <w:lang w:val="en-US"/>
        </w:rPr>
        <w:t>DL or UL DCI) in the DCI format session</w:t>
      </w:r>
      <w:r w:rsidR="00F26789">
        <w:rPr>
          <w:rFonts w:eastAsiaTheme="minorHAnsi"/>
          <w:lang w:val="en-US"/>
        </w:rPr>
        <w:t>, so we refer to our contribution [3] under this agenda item</w:t>
      </w:r>
      <w:r>
        <w:rPr>
          <w:rFonts w:eastAsiaTheme="minorHAnsi"/>
          <w:lang w:val="en-US"/>
        </w:rPr>
        <w:t>.</w:t>
      </w:r>
      <w:r w:rsidR="00F26789">
        <w:rPr>
          <w:rFonts w:eastAsiaTheme="minorHAnsi"/>
          <w:lang w:val="en-US"/>
        </w:rPr>
        <w:t xml:space="preserve"> </w:t>
      </w:r>
      <w:r>
        <w:rPr>
          <w:rFonts w:eastAsiaTheme="minorHAnsi"/>
          <w:lang w:val="en-US"/>
        </w:rPr>
        <w:t xml:space="preserve"> However, some remaining issues still needs to be discussed in the MIMO session.</w:t>
      </w:r>
    </w:p>
    <w:p w14:paraId="0BCC2EB3" w14:textId="092D1716" w:rsidR="00897A22" w:rsidRDefault="00F26789" w:rsidP="00897A22">
      <w:pPr>
        <w:rPr>
          <w:rFonts w:eastAsiaTheme="minorHAnsi"/>
          <w:lang w:val="en-US"/>
        </w:rPr>
      </w:pPr>
      <w:r>
        <w:rPr>
          <w:rFonts w:eastAsiaTheme="minorHAnsi"/>
          <w:lang w:val="en-US"/>
        </w:rPr>
        <w:t>First, we only have working assumption on supporting A-CSI on short PUCCH for non-self-contained CSI feedback, i.e. Y&gt;0. In our view, Y&gt;0 is the most interesting use case for A-CSI on PUCCH, as very few UEs will support Y=0 as a capability. Restricting A-CSI on short PUCCH to only the most difficult case for the UE is artificial and without technical merit. Hence, the working assumption should be confirmed.</w:t>
      </w:r>
    </w:p>
    <w:p w14:paraId="21DB5CA5" w14:textId="476E5D27" w:rsidR="00F26789" w:rsidRPr="00897A22" w:rsidRDefault="00F26789" w:rsidP="00F26789">
      <w:pPr>
        <w:pStyle w:val="Proposal"/>
        <w:rPr>
          <w:rFonts w:eastAsiaTheme="minorHAnsi"/>
          <w:lang w:val="en-US"/>
        </w:rPr>
      </w:pPr>
      <w:bookmarkStart w:id="21" w:name="_Toc498726110"/>
      <w:r>
        <w:rPr>
          <w:rFonts w:eastAsiaTheme="minorHAnsi"/>
          <w:lang w:val="en-US"/>
        </w:rPr>
        <w:t>Confirm the working assumption to support A-CSI on short PUCCH for Y&gt;0</w:t>
      </w:r>
      <w:bookmarkEnd w:id="21"/>
    </w:p>
    <w:bookmarkEnd w:id="18"/>
    <w:p w14:paraId="2759D4AF" w14:textId="609D8406" w:rsidR="007F7526" w:rsidRPr="007F7526" w:rsidRDefault="00F26789" w:rsidP="007F7526">
      <w:r>
        <w:t>In our view, A-CSI reporting on long PUCCH should also be considered. However, given that the mechanism for short PUCCH has not been finalized yet, it is better to defer support of long PUCCH till after December.</w:t>
      </w: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03DC7487" w14:textId="15E0E7AB" w:rsidR="00A1353E"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726064" w:history="1">
        <w:r w:rsidR="00A1353E" w:rsidRPr="0000007E">
          <w:rPr>
            <w:rStyle w:val="Hyperlink"/>
            <w:lang w:val="en-US"/>
          </w:rPr>
          <w:t>Observation 1</w:t>
        </w:r>
        <w:r w:rsidR="00A1353E">
          <w:rPr>
            <w:rFonts w:asciiTheme="minorHAnsi" w:eastAsiaTheme="minorEastAsia" w:hAnsiTheme="minorHAnsi" w:cstheme="minorBidi"/>
            <w:b w:val="0"/>
            <w:sz w:val="22"/>
            <w:lang w:eastAsia="en-US"/>
          </w:rPr>
          <w:tab/>
        </w:r>
        <w:r w:rsidR="00A1353E" w:rsidRPr="0000007E">
          <w:rPr>
            <w:rStyle w:val="Hyperlink"/>
            <w:lang w:val="en-US"/>
          </w:rPr>
          <w:t>CSI omission procedure will likely have to be invoked rather infrequently for proper gNB implementations</w:t>
        </w:r>
      </w:hyperlink>
    </w:p>
    <w:p w14:paraId="3B6F2208" w14:textId="3DA415AA" w:rsidR="00A1353E" w:rsidRDefault="00A1353E">
      <w:pPr>
        <w:pStyle w:val="TOC1"/>
        <w:rPr>
          <w:rFonts w:asciiTheme="minorHAnsi" w:eastAsiaTheme="minorEastAsia" w:hAnsiTheme="minorHAnsi" w:cstheme="minorBidi"/>
          <w:b w:val="0"/>
          <w:sz w:val="22"/>
          <w:lang w:eastAsia="en-US"/>
        </w:rPr>
      </w:pPr>
      <w:hyperlink w:anchor="_Toc498726065" w:history="1">
        <w:r w:rsidRPr="0000007E">
          <w:rPr>
            <w:rStyle w:val="Hyperlink"/>
            <w:lang w:val="en-US"/>
          </w:rPr>
          <w:t>Observation 2</w:t>
        </w:r>
        <w:r>
          <w:rPr>
            <w:rFonts w:asciiTheme="minorHAnsi" w:eastAsiaTheme="minorEastAsia" w:hAnsiTheme="minorHAnsi" w:cstheme="minorBidi"/>
            <w:b w:val="0"/>
            <w:sz w:val="22"/>
            <w:lang w:eastAsia="en-US"/>
          </w:rPr>
          <w:tab/>
        </w:r>
        <w:r w:rsidRPr="0000007E">
          <w:rPr>
            <w:rStyle w:val="Hyperlink"/>
            <w:lang w:val="en-US"/>
          </w:rPr>
          <w:t>Adding longer possible CSI reporting periodicities can only reduce UE complexity</w:t>
        </w:r>
      </w:hyperlink>
    </w:p>
    <w:p w14:paraId="52E627AF" w14:textId="16776A89" w:rsidR="002611E7" w:rsidRPr="0025571F" w:rsidRDefault="00DC2639" w:rsidP="00E5689D">
      <w:pPr>
        <w:pStyle w:val="BodyText"/>
        <w:rPr>
          <w:b/>
          <w:bCs/>
        </w:rPr>
      </w:pPr>
      <w:r>
        <w:rPr>
          <w:b/>
          <w:bCs/>
        </w:rPr>
        <w:fldChar w:fldCharType="end"/>
      </w:r>
    </w:p>
    <w:p w14:paraId="520087F2" w14:textId="77777777" w:rsidR="00086B54" w:rsidRDefault="002611E7" w:rsidP="00BC34FB">
      <w:pPr>
        <w:pStyle w:val="BodyText"/>
      </w:pPr>
      <w:r>
        <w:t>We make the following additional proposals:</w:t>
      </w:r>
    </w:p>
    <w:p w14:paraId="560C780D" w14:textId="79EA8CDE" w:rsidR="00A1353E" w:rsidRDefault="00DC2639">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\h \z \t "Proposal;1" </w:instrText>
      </w:r>
      <w:r>
        <w:rPr>
          <w:b w:val="0"/>
          <w:bCs/>
        </w:rPr>
        <w:fldChar w:fldCharType="separate"/>
      </w:r>
      <w:hyperlink w:anchor="_Toc498726095" w:history="1">
        <w:r w:rsidR="00A1353E" w:rsidRPr="005A297D">
          <w:rPr>
            <w:rStyle w:val="Hyperlink"/>
            <w:lang w:val="en-US"/>
          </w:rPr>
          <w:t>Proposal 1</w:t>
        </w:r>
        <w:r w:rsidR="00A1353E">
          <w:rPr>
            <w:rFonts w:asciiTheme="minorHAnsi" w:eastAsiaTheme="minorEastAsia" w:hAnsiTheme="minorHAnsi" w:cstheme="minorBidi"/>
            <w:b w:val="0"/>
            <w:sz w:val="22"/>
            <w:lang w:eastAsia="en-US"/>
          </w:rPr>
          <w:tab/>
        </w:r>
        <w:r w:rsidR="00A1353E" w:rsidRPr="005A297D">
          <w:rPr>
            <w:rStyle w:val="Hyperlink"/>
            <w:lang w:val="en-US"/>
          </w:rPr>
          <w:t>For PUSCH CSI reports where partial subband PMI have been omitted, subband CQI is determined according to existing procedure</w:t>
        </w:r>
      </w:hyperlink>
    </w:p>
    <w:p w14:paraId="37667F3D" w14:textId="30D16EC6" w:rsidR="00A1353E" w:rsidRDefault="00A1353E">
      <w:pPr>
        <w:pStyle w:val="TOC1"/>
        <w:rPr>
          <w:rFonts w:asciiTheme="minorHAnsi" w:eastAsiaTheme="minorEastAsia" w:hAnsiTheme="minorHAnsi" w:cstheme="minorBidi"/>
          <w:b w:val="0"/>
          <w:sz w:val="22"/>
          <w:lang w:eastAsia="en-US"/>
        </w:rPr>
      </w:pPr>
      <w:hyperlink w:anchor="_Toc498726096" w:history="1">
        <w:r w:rsidRPr="005A297D">
          <w:rPr>
            <w:rStyle w:val="Hyperlink"/>
            <w:lang w:val="en-US"/>
          </w:rPr>
          <w:t>Proposal 2</w:t>
        </w:r>
        <w:r>
          <w:rPr>
            <w:rFonts w:asciiTheme="minorHAnsi" w:eastAsiaTheme="minorEastAsia" w:hAnsiTheme="minorHAnsi" w:cstheme="minorBidi"/>
            <w:b w:val="0"/>
            <w:sz w:val="22"/>
            <w:lang w:eastAsia="en-US"/>
          </w:rPr>
          <w:tab/>
        </w:r>
        <w:r w:rsidRPr="005A297D">
          <w:rPr>
            <w:rStyle w:val="Hyperlink"/>
            <w:lang w:val="en-US"/>
          </w:rPr>
          <w:t>No additional CBSR for inter-group co-phasing parameters is introduced</w:t>
        </w:r>
      </w:hyperlink>
    </w:p>
    <w:p w14:paraId="722C0BF1" w14:textId="49DB55F6" w:rsidR="00A1353E" w:rsidRDefault="00A1353E">
      <w:pPr>
        <w:pStyle w:val="TOC1"/>
        <w:rPr>
          <w:rFonts w:asciiTheme="minorHAnsi" w:eastAsiaTheme="minorEastAsia" w:hAnsiTheme="minorHAnsi" w:cstheme="minorBidi"/>
          <w:b w:val="0"/>
          <w:sz w:val="22"/>
          <w:lang w:eastAsia="en-US"/>
        </w:rPr>
      </w:pPr>
      <w:hyperlink w:anchor="_Toc498726097" w:history="1">
        <w:r w:rsidRPr="005A297D">
          <w:rPr>
            <w:rStyle w:val="Hyperlink"/>
            <w:lang w:val="en-US"/>
          </w:rPr>
          <w:t>Proposal 3</w:t>
        </w:r>
        <w:r>
          <w:rPr>
            <w:rFonts w:asciiTheme="minorHAnsi" w:eastAsiaTheme="minorEastAsia" w:hAnsiTheme="minorHAnsi" w:cstheme="minorBidi"/>
            <w:b w:val="0"/>
            <w:sz w:val="22"/>
            <w:lang w:eastAsia="en-US"/>
          </w:rPr>
          <w:tab/>
        </w:r>
        <w:r w:rsidRPr="005A297D">
          <w:rPr>
            <w:rStyle w:val="Hyperlink"/>
            <w:lang w:val="en-US"/>
          </w:rPr>
          <w:t>Support BWP-specific CSI configurations where separate independent instances of CSI report settings are configured for each candidate BWP, each mapping to independent Resource Settings</w:t>
        </w:r>
      </w:hyperlink>
    </w:p>
    <w:p w14:paraId="1ED31304" w14:textId="3122D380" w:rsidR="00A1353E" w:rsidRDefault="00A1353E">
      <w:pPr>
        <w:pStyle w:val="TOC1"/>
        <w:rPr>
          <w:rFonts w:asciiTheme="minorHAnsi" w:eastAsiaTheme="minorEastAsia" w:hAnsiTheme="minorHAnsi" w:cstheme="minorBidi"/>
          <w:b w:val="0"/>
          <w:sz w:val="22"/>
          <w:lang w:eastAsia="en-US"/>
        </w:rPr>
      </w:pPr>
      <w:hyperlink w:anchor="_Toc498726098" w:history="1">
        <w:r w:rsidRPr="005A297D">
          <w:rPr>
            <w:rStyle w:val="Hyperlink"/>
            <w:lang w:val="en-US"/>
          </w:rPr>
          <w:t>Proposal 4</w:t>
        </w:r>
        <w:r>
          <w:rPr>
            <w:rFonts w:asciiTheme="minorHAnsi" w:eastAsiaTheme="minorEastAsia" w:hAnsiTheme="minorHAnsi" w:cstheme="minorBidi"/>
            <w:b w:val="0"/>
            <w:sz w:val="22"/>
            <w:lang w:eastAsia="en-US"/>
          </w:rPr>
          <w:tab/>
        </w:r>
        <w:r w:rsidRPr="005A297D">
          <w:rPr>
            <w:rStyle w:val="Hyperlink"/>
            <w:lang w:val="en-US"/>
          </w:rPr>
          <w:t>Do not reporting CSI corresponding to a non-active BWP if the active and non-active BWPs span different PRBs</w:t>
        </w:r>
      </w:hyperlink>
    </w:p>
    <w:p w14:paraId="228D3AAD" w14:textId="6A96161B" w:rsidR="00A1353E" w:rsidRDefault="00A1353E">
      <w:pPr>
        <w:pStyle w:val="TOC1"/>
        <w:rPr>
          <w:rFonts w:asciiTheme="minorHAnsi" w:eastAsiaTheme="minorEastAsia" w:hAnsiTheme="minorHAnsi" w:cstheme="minorBidi"/>
          <w:b w:val="0"/>
          <w:sz w:val="22"/>
          <w:lang w:eastAsia="en-US"/>
        </w:rPr>
      </w:pPr>
      <w:hyperlink w:anchor="_Toc498726099" w:history="1">
        <w:r w:rsidRPr="005A297D">
          <w:rPr>
            <w:rStyle w:val="Hyperlink"/>
            <w:lang w:val="en-US"/>
          </w:rPr>
          <w:t>Proposal 5</w:t>
        </w:r>
        <w:r>
          <w:rPr>
            <w:rFonts w:asciiTheme="minorHAnsi" w:eastAsiaTheme="minorEastAsia" w:hAnsiTheme="minorHAnsi" w:cstheme="minorBidi"/>
            <w:b w:val="0"/>
            <w:sz w:val="22"/>
            <w:lang w:eastAsia="en-US"/>
          </w:rPr>
          <w:tab/>
        </w:r>
        <w:r w:rsidRPr="005A297D">
          <w:rPr>
            <w:rStyle w:val="Hyperlink"/>
            <w:lang w:val="en-US"/>
          </w:rPr>
          <w:t>A BWP spanning a subset of PRBs of another BWP can reuse the same CSI configuration as that BWP</w:t>
        </w:r>
      </w:hyperlink>
    </w:p>
    <w:p w14:paraId="1F10B77F" w14:textId="608921D8" w:rsidR="00A1353E" w:rsidRDefault="00A1353E">
      <w:pPr>
        <w:pStyle w:val="TOC1"/>
        <w:rPr>
          <w:rFonts w:asciiTheme="minorHAnsi" w:eastAsiaTheme="minorEastAsia" w:hAnsiTheme="minorHAnsi" w:cstheme="minorBidi"/>
          <w:b w:val="0"/>
          <w:sz w:val="22"/>
          <w:lang w:eastAsia="en-US"/>
        </w:rPr>
      </w:pPr>
      <w:hyperlink w:anchor="_Toc498726100" w:history="1">
        <w:r w:rsidRPr="005A297D">
          <w:rPr>
            <w:rStyle w:val="Hyperlink"/>
            <w:lang w:val="en-US"/>
          </w:rPr>
          <w:t>Proposal 6</w:t>
        </w:r>
        <w:r>
          <w:rPr>
            <w:rFonts w:asciiTheme="minorHAnsi" w:eastAsiaTheme="minorEastAsia" w:hAnsiTheme="minorHAnsi" w:cstheme="minorBidi"/>
            <w:b w:val="0"/>
            <w:sz w:val="22"/>
            <w:lang w:eastAsia="en-US"/>
          </w:rPr>
          <w:tab/>
        </w:r>
        <w:r w:rsidRPr="005A297D">
          <w:rPr>
            <w:rStyle w:val="Hyperlink"/>
            <w:lang w:val="en-US"/>
          </w:rPr>
          <w:t>Adopt the additional CSI periodicities in Table 1 to ensure alignment between P-CSI reporting and DRX cycles for all supported subcarrier spacings</w:t>
        </w:r>
      </w:hyperlink>
    </w:p>
    <w:p w14:paraId="5F5C42E6" w14:textId="5E13AD5D" w:rsidR="00A1353E" w:rsidRDefault="00A1353E">
      <w:pPr>
        <w:pStyle w:val="TOC1"/>
        <w:rPr>
          <w:rFonts w:asciiTheme="minorHAnsi" w:eastAsiaTheme="minorEastAsia" w:hAnsiTheme="minorHAnsi" w:cstheme="minorBidi"/>
          <w:b w:val="0"/>
          <w:sz w:val="22"/>
          <w:lang w:eastAsia="en-US"/>
        </w:rPr>
      </w:pPr>
      <w:hyperlink w:anchor="_Toc498726101" w:history="1">
        <w:r w:rsidRPr="005A297D">
          <w:rPr>
            <w:rStyle w:val="Hyperlink"/>
          </w:rPr>
          <w:t>Proposal 7</w:t>
        </w:r>
        <w:r>
          <w:rPr>
            <w:rFonts w:asciiTheme="minorHAnsi" w:eastAsiaTheme="minorEastAsia" w:hAnsiTheme="minorHAnsi" w:cstheme="minorBidi"/>
            <w:b w:val="0"/>
            <w:sz w:val="22"/>
            <w:lang w:eastAsia="en-US"/>
          </w:rPr>
          <w:tab/>
        </w:r>
        <w:r w:rsidRPr="005A297D">
          <w:rPr>
            <w:rStyle w:val="Hyperlink"/>
          </w:rPr>
          <w:t>For priority rules for CSI collision, the following definition is used: “Two CSI reports are said to collide if the time occupancy of the physical channels scheduled to carry the CSI reports overlap in at least one OFDM symbol and are transmitted on the ame carrier”</w:t>
        </w:r>
      </w:hyperlink>
    </w:p>
    <w:p w14:paraId="717F617F" w14:textId="65B65C3A" w:rsidR="00A1353E" w:rsidRDefault="00A1353E">
      <w:pPr>
        <w:pStyle w:val="TOC1"/>
        <w:rPr>
          <w:rFonts w:asciiTheme="minorHAnsi" w:eastAsiaTheme="minorEastAsia" w:hAnsiTheme="minorHAnsi" w:cstheme="minorBidi"/>
          <w:b w:val="0"/>
          <w:sz w:val="22"/>
          <w:lang w:eastAsia="en-US"/>
        </w:rPr>
      </w:pPr>
      <w:hyperlink w:anchor="_Toc498726102" w:history="1">
        <w:r w:rsidRPr="005A297D">
          <w:rPr>
            <w:rStyle w:val="Hyperlink"/>
          </w:rPr>
          <w:t>Proposal 8</w:t>
        </w:r>
        <w:r>
          <w:rPr>
            <w:rFonts w:asciiTheme="minorHAnsi" w:eastAsiaTheme="minorEastAsia" w:hAnsiTheme="minorHAnsi" w:cstheme="minorBidi"/>
            <w:b w:val="0"/>
            <w:sz w:val="22"/>
            <w:lang w:eastAsia="en-US"/>
          </w:rPr>
          <w:tab/>
        </w:r>
        <w:r w:rsidRPr="005A297D">
          <w:rPr>
            <w:rStyle w:val="Hyperlink"/>
          </w:rPr>
          <w:t>For P/SP CSI collisions where all colliding CSIs are transmitted on PUCCH, the CSI with the longest periodicity has priority while the other CSIs are dropped</w:t>
        </w:r>
      </w:hyperlink>
    </w:p>
    <w:p w14:paraId="3ECC2D36" w14:textId="46D297BB" w:rsidR="00A1353E" w:rsidRDefault="00A1353E">
      <w:pPr>
        <w:pStyle w:val="TOC1"/>
        <w:rPr>
          <w:rFonts w:asciiTheme="minorHAnsi" w:eastAsiaTheme="minorEastAsia" w:hAnsiTheme="minorHAnsi" w:cstheme="minorBidi"/>
          <w:b w:val="0"/>
          <w:sz w:val="22"/>
          <w:lang w:eastAsia="en-US"/>
        </w:rPr>
      </w:pPr>
      <w:hyperlink w:anchor="_Toc498726103" w:history="1">
        <w:r w:rsidRPr="005A297D">
          <w:rPr>
            <w:rStyle w:val="Hyperlink"/>
          </w:rPr>
          <w:t>Proposal 9</w:t>
        </w:r>
        <w:r>
          <w:rPr>
            <w:rFonts w:asciiTheme="minorHAnsi" w:eastAsiaTheme="minorEastAsia" w:hAnsiTheme="minorHAnsi" w:cstheme="minorBidi"/>
            <w:b w:val="0"/>
            <w:sz w:val="22"/>
            <w:lang w:eastAsia="en-US"/>
          </w:rPr>
          <w:tab/>
        </w:r>
        <w:r w:rsidRPr="005A297D">
          <w:rPr>
            <w:rStyle w:val="Hyperlink"/>
          </w:rPr>
          <w:t>Extend the agreed priority rules for CSI collision in RAN1#90b also to when Type I and Type II CSI collides</w:t>
        </w:r>
      </w:hyperlink>
    </w:p>
    <w:p w14:paraId="39EF55FF" w14:textId="47055A35" w:rsidR="00A1353E" w:rsidRDefault="00A1353E">
      <w:pPr>
        <w:pStyle w:val="TOC1"/>
        <w:rPr>
          <w:rFonts w:asciiTheme="minorHAnsi" w:eastAsiaTheme="minorEastAsia" w:hAnsiTheme="minorHAnsi" w:cstheme="minorBidi"/>
          <w:b w:val="0"/>
          <w:sz w:val="22"/>
          <w:lang w:eastAsia="en-US"/>
        </w:rPr>
      </w:pPr>
      <w:hyperlink w:anchor="_Toc498726104" w:history="1">
        <w:r w:rsidRPr="005A297D">
          <w:rPr>
            <w:rStyle w:val="Hyperlink"/>
            <w:lang w:val="en-US"/>
          </w:rPr>
          <w:t>Proposal 10</w:t>
        </w:r>
        <w:r>
          <w:rPr>
            <w:rFonts w:asciiTheme="minorHAnsi" w:eastAsiaTheme="minorEastAsia" w:hAnsiTheme="minorHAnsi" w:cstheme="minorBidi"/>
            <w:b w:val="0"/>
            <w:sz w:val="22"/>
            <w:lang w:eastAsia="en-US"/>
          </w:rPr>
          <w:tab/>
        </w:r>
        <w:r w:rsidRPr="005A297D">
          <w:rPr>
            <w:rStyle w:val="Hyperlink"/>
            <w:lang w:val="en-US"/>
          </w:rPr>
          <w:t xml:space="preserve">Adopt the refined subband sizes and ranges in </w:t>
        </w:r>
        <w:r w:rsidRPr="005A297D">
          <w:rPr>
            <w:rStyle w:val="Hyperlink"/>
          </w:rPr>
          <w:t>Table 2</w:t>
        </w:r>
      </w:hyperlink>
    </w:p>
    <w:p w14:paraId="2DC2E843" w14:textId="633AE0D7" w:rsidR="00A1353E" w:rsidRDefault="00A1353E">
      <w:pPr>
        <w:pStyle w:val="TOC1"/>
        <w:rPr>
          <w:rFonts w:asciiTheme="minorHAnsi" w:eastAsiaTheme="minorEastAsia" w:hAnsiTheme="minorHAnsi" w:cstheme="minorBidi"/>
          <w:b w:val="0"/>
          <w:sz w:val="22"/>
          <w:lang w:eastAsia="en-US"/>
        </w:rPr>
      </w:pPr>
      <w:hyperlink w:anchor="_Toc498726105" w:history="1">
        <w:r>
          <w:rPr>
            <w:rFonts w:asciiTheme="minorHAnsi" w:eastAsiaTheme="minorEastAsia" w:hAnsiTheme="minorHAnsi" w:cstheme="minorBidi"/>
            <w:b w:val="0"/>
            <w:sz w:val="22"/>
            <w:lang w:eastAsia="en-US"/>
          </w:rPr>
          <w:tab/>
        </w:r>
        <w:r w:rsidRPr="005A297D">
          <w:rPr>
            <w:rStyle w:val="Hyperlink"/>
            <w:lang w:val="en-US"/>
          </w:rPr>
          <w:t>If configured to be present for a CSI report setting, the indicator of strongest DL layer within the CW with highest CQI for DL PTRS port mapping purpose, the so called CPI, is jointly encoded with RI into a single field using at most one additional bit compared to standalone RI field</w:t>
        </w:r>
      </w:hyperlink>
    </w:p>
    <w:p w14:paraId="295516E7" w14:textId="2C9BD7FC" w:rsidR="00A1353E" w:rsidRDefault="00A1353E">
      <w:pPr>
        <w:pStyle w:val="TOC1"/>
        <w:rPr>
          <w:rFonts w:asciiTheme="minorHAnsi" w:eastAsiaTheme="minorEastAsia" w:hAnsiTheme="minorHAnsi" w:cstheme="minorBidi"/>
          <w:b w:val="0"/>
          <w:sz w:val="22"/>
          <w:lang w:eastAsia="en-US"/>
        </w:rPr>
      </w:pPr>
      <w:hyperlink w:anchor="_Toc498726106" w:history="1">
        <w:r w:rsidRPr="005A297D">
          <w:rPr>
            <w:rStyle w:val="Hyperlink"/>
            <w:lang w:val="en-US"/>
          </w:rPr>
          <w:t>Proposal 11</w:t>
        </w:r>
      </w:hyperlink>
    </w:p>
    <w:p w14:paraId="405C571D" w14:textId="782C35F3" w:rsidR="00A1353E" w:rsidRDefault="00A1353E">
      <w:pPr>
        <w:pStyle w:val="TOC1"/>
        <w:rPr>
          <w:rFonts w:asciiTheme="minorHAnsi" w:eastAsiaTheme="minorEastAsia" w:hAnsiTheme="minorHAnsi" w:cstheme="minorBidi"/>
          <w:b w:val="0"/>
          <w:sz w:val="22"/>
          <w:lang w:eastAsia="en-US"/>
        </w:rPr>
      </w:pPr>
      <w:hyperlink w:anchor="_Toc498726107" w:history="1">
        <w:r w:rsidRPr="005A297D">
          <w:rPr>
            <w:rStyle w:val="Hyperlink"/>
          </w:rPr>
          <w:t>Proposal 12</w:t>
        </w:r>
        <w:r>
          <w:rPr>
            <w:rFonts w:asciiTheme="minorHAnsi" w:eastAsiaTheme="minorEastAsia" w:hAnsiTheme="minorHAnsi" w:cstheme="minorBidi"/>
            <w:b w:val="0"/>
            <w:sz w:val="22"/>
            <w:lang w:eastAsia="en-US"/>
          </w:rPr>
          <w:tab/>
        </w:r>
        <w:r w:rsidRPr="005A297D">
          <w:rPr>
            <w:rStyle w:val="Hyperlink"/>
          </w:rPr>
          <w:t>The same set of RRC configured PUSCH timing offsets Y is used for PUSCH with and without piggybacked CSI</w:t>
        </w:r>
      </w:hyperlink>
    </w:p>
    <w:p w14:paraId="3186BA0B" w14:textId="5B465830" w:rsidR="00A1353E" w:rsidRDefault="00A1353E">
      <w:pPr>
        <w:pStyle w:val="TOC1"/>
        <w:rPr>
          <w:rFonts w:asciiTheme="minorHAnsi" w:eastAsiaTheme="minorEastAsia" w:hAnsiTheme="minorHAnsi" w:cstheme="minorBidi"/>
          <w:b w:val="0"/>
          <w:sz w:val="22"/>
          <w:lang w:eastAsia="en-US"/>
        </w:rPr>
      </w:pPr>
      <w:hyperlink w:anchor="_Toc498726108" w:history="1">
        <w:r w:rsidRPr="005A297D">
          <w:rPr>
            <w:rStyle w:val="Hyperlink"/>
            <w:rFonts w:eastAsiaTheme="minorHAnsi"/>
            <w:lang w:val="en-US"/>
          </w:rPr>
          <w:t>Proposal 13</w:t>
        </w:r>
        <w:r>
          <w:rPr>
            <w:rFonts w:asciiTheme="minorHAnsi" w:eastAsiaTheme="minorEastAsia" w:hAnsiTheme="minorHAnsi" w:cstheme="minorBidi"/>
            <w:b w:val="0"/>
            <w:sz w:val="22"/>
            <w:lang w:eastAsia="en-US"/>
          </w:rPr>
          <w:tab/>
        </w:r>
        <w:r w:rsidRPr="005A297D">
          <w:rPr>
            <w:rStyle w:val="Hyperlink"/>
            <w:rFonts w:eastAsiaTheme="minorHAnsi"/>
            <w:lang w:val="en-US"/>
          </w:rPr>
          <w:t>SP-CSI reporting on PUCCH is activated with DCI</w:t>
        </w:r>
      </w:hyperlink>
    </w:p>
    <w:p w14:paraId="189C0EEA" w14:textId="2D17A240" w:rsidR="00A1353E" w:rsidRDefault="00A1353E">
      <w:pPr>
        <w:pStyle w:val="TOC1"/>
        <w:rPr>
          <w:rFonts w:asciiTheme="minorHAnsi" w:eastAsiaTheme="minorEastAsia" w:hAnsiTheme="minorHAnsi" w:cstheme="minorBidi"/>
          <w:b w:val="0"/>
          <w:sz w:val="22"/>
          <w:lang w:eastAsia="en-US"/>
        </w:rPr>
      </w:pPr>
      <w:hyperlink w:anchor="_Toc498726109" w:history="1">
        <w:r w:rsidRPr="005A297D">
          <w:rPr>
            <w:rStyle w:val="Hyperlink"/>
            <w:rFonts w:eastAsiaTheme="minorHAnsi"/>
            <w:lang w:val="en-US"/>
          </w:rPr>
          <w:t>Proposal 14</w:t>
        </w:r>
        <w:r>
          <w:rPr>
            <w:rFonts w:asciiTheme="minorHAnsi" w:eastAsiaTheme="minorEastAsia" w:hAnsiTheme="minorHAnsi" w:cstheme="minorBidi"/>
            <w:b w:val="0"/>
            <w:sz w:val="22"/>
            <w:lang w:eastAsia="en-US"/>
          </w:rPr>
          <w:tab/>
        </w:r>
        <w:r w:rsidRPr="005A297D">
          <w:rPr>
            <w:rStyle w:val="Hyperlink"/>
            <w:rFonts w:eastAsiaTheme="minorHAnsi"/>
            <w:lang w:val="en-US"/>
          </w:rPr>
          <w:t>SP-CSI reporting on PUCCH uses semi-statically configured PUCCH resources</w:t>
        </w:r>
      </w:hyperlink>
    </w:p>
    <w:p w14:paraId="35F4F575" w14:textId="7C488401" w:rsidR="00A1353E" w:rsidRDefault="00A1353E">
      <w:pPr>
        <w:pStyle w:val="TOC1"/>
        <w:rPr>
          <w:rFonts w:asciiTheme="minorHAnsi" w:eastAsiaTheme="minorEastAsia" w:hAnsiTheme="minorHAnsi" w:cstheme="minorBidi"/>
          <w:b w:val="0"/>
          <w:sz w:val="22"/>
          <w:lang w:eastAsia="en-US"/>
        </w:rPr>
      </w:pPr>
      <w:hyperlink w:anchor="_Toc498726110" w:history="1">
        <w:r w:rsidRPr="005A297D">
          <w:rPr>
            <w:rStyle w:val="Hyperlink"/>
            <w:rFonts w:eastAsiaTheme="minorHAnsi"/>
            <w:lang w:val="en-US"/>
          </w:rPr>
          <w:t>Proposal 15</w:t>
        </w:r>
        <w:r>
          <w:rPr>
            <w:rFonts w:asciiTheme="minorHAnsi" w:eastAsiaTheme="minorEastAsia" w:hAnsiTheme="minorHAnsi" w:cstheme="minorBidi"/>
            <w:b w:val="0"/>
            <w:sz w:val="22"/>
            <w:lang w:eastAsia="en-US"/>
          </w:rPr>
          <w:tab/>
        </w:r>
        <w:r w:rsidRPr="005A297D">
          <w:rPr>
            <w:rStyle w:val="Hyperlink"/>
            <w:rFonts w:eastAsiaTheme="minorHAnsi"/>
            <w:lang w:val="en-US"/>
          </w:rPr>
          <w:t>Confirm the working assumption to support A-CSI on short PUCCH for Y&gt;0</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3BC9304B" w14:textId="44D1A92D" w:rsidR="003A7EF3" w:rsidRPr="00071AB3" w:rsidRDefault="00A96866" w:rsidP="00086B54">
      <w:pPr>
        <w:pStyle w:val="Reference"/>
      </w:pPr>
      <w:r w:rsidRPr="00BC34FB">
        <w:t>R1-</w:t>
      </w:r>
      <w:r w:rsidR="00086B54" w:rsidRPr="00071AB3">
        <w:t>1720723</w:t>
      </w:r>
      <w:r w:rsidRPr="00BC34FB">
        <w:t>,</w:t>
      </w:r>
      <w:r w:rsidRPr="00071AB3">
        <w:t xml:space="preserve"> “On CSI subband size”, Ericsson, RAN1#91 Reno</w:t>
      </w:r>
    </w:p>
    <w:p w14:paraId="204E0FAE" w14:textId="3A53EE6D" w:rsidR="00D06B63" w:rsidRPr="00071AB3" w:rsidRDefault="00D06B63" w:rsidP="00086B54">
      <w:pPr>
        <w:pStyle w:val="Reference"/>
      </w:pPr>
      <w:r w:rsidRPr="00BC34FB">
        <w:t>R1-</w:t>
      </w:r>
      <w:r w:rsidR="00086B54" w:rsidRPr="00071AB3">
        <w:t>1720741</w:t>
      </w:r>
      <w:r w:rsidRPr="00BC34FB">
        <w:t>,</w:t>
      </w:r>
      <w:r w:rsidRPr="00071AB3">
        <w:t xml:space="preserve"> “Remaining details on PTRS design”, Ericsson, RAN1#91 Reno</w:t>
      </w:r>
    </w:p>
    <w:p w14:paraId="131D2A0C" w14:textId="40EEA596" w:rsidR="00F26789" w:rsidRDefault="00F26789" w:rsidP="00071AB3">
      <w:pPr>
        <w:pStyle w:val="Reference"/>
      </w:pPr>
      <w:r w:rsidRPr="00BC34FB">
        <w:t>R1-</w:t>
      </w:r>
      <w:r w:rsidR="00071AB3" w:rsidRPr="00071AB3">
        <w:t>1720970</w:t>
      </w:r>
      <w:r w:rsidRPr="00BC34FB">
        <w:t>,</w:t>
      </w:r>
      <w:r>
        <w:t xml:space="preserve"> “On DCI triggering of aperiodic CSI reports on short PUCCH”, Ericsson, RAN1#91 Reno</w:t>
      </w:r>
    </w:p>
    <w:p w14:paraId="345687B6" w14:textId="77777777" w:rsidR="00F26789" w:rsidRPr="00CE0424" w:rsidRDefault="00F26789" w:rsidP="00F26789">
      <w:pPr>
        <w:pStyle w:val="Reference"/>
        <w:numPr>
          <w:ilvl w:val="0"/>
          <w:numId w:val="0"/>
        </w:numPr>
        <w:ind w:left="567"/>
      </w:pPr>
    </w:p>
    <w:sectPr w:rsidR="00F26789"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E249A" w14:textId="77777777" w:rsidR="00F55BCC" w:rsidRDefault="00F55BCC">
      <w:r>
        <w:separator/>
      </w:r>
    </w:p>
  </w:endnote>
  <w:endnote w:type="continuationSeparator" w:id="0">
    <w:p w14:paraId="08380D45" w14:textId="77777777" w:rsidR="00F55BCC" w:rsidRDefault="00F5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E507A" w14:textId="77777777" w:rsidR="00F55BCC" w:rsidRDefault="00F55BCC">
      <w:r>
        <w:separator/>
      </w:r>
    </w:p>
  </w:footnote>
  <w:footnote w:type="continuationSeparator" w:id="0">
    <w:p w14:paraId="77278840" w14:textId="77777777" w:rsidR="00F55BCC" w:rsidRDefault="00F55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439BA"/>
    <w:multiLevelType w:val="hybridMultilevel"/>
    <w:tmpl w:val="BCFCBEF4"/>
    <w:lvl w:ilvl="0" w:tplc="2FCC09A6">
      <w:start w:val="1"/>
      <w:numFmt w:val="bullet"/>
      <w:lvlText w:val="•"/>
      <w:lvlJc w:val="left"/>
      <w:pPr>
        <w:tabs>
          <w:tab w:val="num" w:pos="720"/>
        </w:tabs>
        <w:ind w:left="720" w:hanging="360"/>
      </w:pPr>
      <w:rPr>
        <w:rFonts w:ascii="Arial" w:hAnsi="Arial" w:hint="default"/>
      </w:rPr>
    </w:lvl>
    <w:lvl w:ilvl="1" w:tplc="5F220824">
      <w:start w:val="1"/>
      <w:numFmt w:val="bullet"/>
      <w:lvlText w:val="•"/>
      <w:lvlJc w:val="left"/>
      <w:pPr>
        <w:tabs>
          <w:tab w:val="num" w:pos="1440"/>
        </w:tabs>
        <w:ind w:left="1440" w:hanging="360"/>
      </w:pPr>
      <w:rPr>
        <w:rFonts w:ascii="Arial" w:hAnsi="Arial" w:hint="default"/>
      </w:rPr>
    </w:lvl>
    <w:lvl w:ilvl="2" w:tplc="931E91EA">
      <w:numFmt w:val="bullet"/>
      <w:lvlText w:val="•"/>
      <w:lvlJc w:val="left"/>
      <w:pPr>
        <w:tabs>
          <w:tab w:val="num" w:pos="2160"/>
        </w:tabs>
        <w:ind w:left="2160" w:hanging="360"/>
      </w:pPr>
      <w:rPr>
        <w:rFonts w:ascii="Arial" w:hAnsi="Arial" w:hint="default"/>
      </w:rPr>
    </w:lvl>
    <w:lvl w:ilvl="3" w:tplc="31DAE9DE" w:tentative="1">
      <w:start w:val="1"/>
      <w:numFmt w:val="bullet"/>
      <w:lvlText w:val="•"/>
      <w:lvlJc w:val="left"/>
      <w:pPr>
        <w:tabs>
          <w:tab w:val="num" w:pos="2880"/>
        </w:tabs>
        <w:ind w:left="2880" w:hanging="360"/>
      </w:pPr>
      <w:rPr>
        <w:rFonts w:ascii="Arial" w:hAnsi="Arial" w:hint="default"/>
      </w:rPr>
    </w:lvl>
    <w:lvl w:ilvl="4" w:tplc="87D46A66" w:tentative="1">
      <w:start w:val="1"/>
      <w:numFmt w:val="bullet"/>
      <w:lvlText w:val="•"/>
      <w:lvlJc w:val="left"/>
      <w:pPr>
        <w:tabs>
          <w:tab w:val="num" w:pos="3600"/>
        </w:tabs>
        <w:ind w:left="3600" w:hanging="360"/>
      </w:pPr>
      <w:rPr>
        <w:rFonts w:ascii="Arial" w:hAnsi="Arial" w:hint="default"/>
      </w:rPr>
    </w:lvl>
    <w:lvl w:ilvl="5" w:tplc="4F9687DA" w:tentative="1">
      <w:start w:val="1"/>
      <w:numFmt w:val="bullet"/>
      <w:lvlText w:val="•"/>
      <w:lvlJc w:val="left"/>
      <w:pPr>
        <w:tabs>
          <w:tab w:val="num" w:pos="4320"/>
        </w:tabs>
        <w:ind w:left="4320" w:hanging="360"/>
      </w:pPr>
      <w:rPr>
        <w:rFonts w:ascii="Arial" w:hAnsi="Arial" w:hint="default"/>
      </w:rPr>
    </w:lvl>
    <w:lvl w:ilvl="6" w:tplc="1E90CE28" w:tentative="1">
      <w:start w:val="1"/>
      <w:numFmt w:val="bullet"/>
      <w:lvlText w:val="•"/>
      <w:lvlJc w:val="left"/>
      <w:pPr>
        <w:tabs>
          <w:tab w:val="num" w:pos="5040"/>
        </w:tabs>
        <w:ind w:left="5040" w:hanging="360"/>
      </w:pPr>
      <w:rPr>
        <w:rFonts w:ascii="Arial" w:hAnsi="Arial" w:hint="default"/>
      </w:rPr>
    </w:lvl>
    <w:lvl w:ilvl="7" w:tplc="92065C36" w:tentative="1">
      <w:start w:val="1"/>
      <w:numFmt w:val="bullet"/>
      <w:lvlText w:val="•"/>
      <w:lvlJc w:val="left"/>
      <w:pPr>
        <w:tabs>
          <w:tab w:val="num" w:pos="5760"/>
        </w:tabs>
        <w:ind w:left="5760" w:hanging="360"/>
      </w:pPr>
      <w:rPr>
        <w:rFonts w:ascii="Arial" w:hAnsi="Arial" w:hint="default"/>
      </w:rPr>
    </w:lvl>
    <w:lvl w:ilvl="8" w:tplc="E20EAE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903842"/>
    <w:multiLevelType w:val="hybridMultilevel"/>
    <w:tmpl w:val="0BB4386C"/>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01134"/>
    <w:multiLevelType w:val="hybridMultilevel"/>
    <w:tmpl w:val="58703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85E14"/>
    <w:multiLevelType w:val="hybridMultilevel"/>
    <w:tmpl w:val="E6B4462A"/>
    <w:lvl w:ilvl="0" w:tplc="185E214A">
      <w:start w:val="1"/>
      <w:numFmt w:val="bullet"/>
      <w:lvlText w:val="–"/>
      <w:lvlJc w:val="left"/>
      <w:pPr>
        <w:tabs>
          <w:tab w:val="num" w:pos="360"/>
        </w:tabs>
        <w:ind w:left="360" w:hanging="360"/>
      </w:pPr>
      <w:rPr>
        <w:rFonts w:ascii="Ericsson Capital TT" w:hAnsi="Ericsson Capital TT" w:hint="default"/>
      </w:rPr>
    </w:lvl>
    <w:lvl w:ilvl="1" w:tplc="93A46E88">
      <w:start w:val="1"/>
      <w:numFmt w:val="bullet"/>
      <w:lvlText w:val="–"/>
      <w:lvlJc w:val="left"/>
      <w:pPr>
        <w:tabs>
          <w:tab w:val="num" w:pos="1080"/>
        </w:tabs>
        <w:ind w:left="1080" w:hanging="360"/>
      </w:pPr>
      <w:rPr>
        <w:rFonts w:ascii="Ericsson Capital TT" w:hAnsi="Ericsson Capital TT" w:hint="default"/>
      </w:rPr>
    </w:lvl>
    <w:lvl w:ilvl="2" w:tplc="DD1AC3DA" w:tentative="1">
      <w:start w:val="1"/>
      <w:numFmt w:val="bullet"/>
      <w:lvlText w:val="–"/>
      <w:lvlJc w:val="left"/>
      <w:pPr>
        <w:tabs>
          <w:tab w:val="num" w:pos="1800"/>
        </w:tabs>
        <w:ind w:left="1800" w:hanging="360"/>
      </w:pPr>
      <w:rPr>
        <w:rFonts w:ascii="Ericsson Capital TT" w:hAnsi="Ericsson Capital TT" w:hint="default"/>
      </w:rPr>
    </w:lvl>
    <w:lvl w:ilvl="3" w:tplc="1A629A04" w:tentative="1">
      <w:start w:val="1"/>
      <w:numFmt w:val="bullet"/>
      <w:lvlText w:val="–"/>
      <w:lvlJc w:val="left"/>
      <w:pPr>
        <w:tabs>
          <w:tab w:val="num" w:pos="2520"/>
        </w:tabs>
        <w:ind w:left="2520" w:hanging="360"/>
      </w:pPr>
      <w:rPr>
        <w:rFonts w:ascii="Ericsson Capital TT" w:hAnsi="Ericsson Capital TT" w:hint="default"/>
      </w:rPr>
    </w:lvl>
    <w:lvl w:ilvl="4" w:tplc="21703BAA" w:tentative="1">
      <w:start w:val="1"/>
      <w:numFmt w:val="bullet"/>
      <w:lvlText w:val="–"/>
      <w:lvlJc w:val="left"/>
      <w:pPr>
        <w:tabs>
          <w:tab w:val="num" w:pos="3240"/>
        </w:tabs>
        <w:ind w:left="3240" w:hanging="360"/>
      </w:pPr>
      <w:rPr>
        <w:rFonts w:ascii="Ericsson Capital TT" w:hAnsi="Ericsson Capital TT" w:hint="default"/>
      </w:rPr>
    </w:lvl>
    <w:lvl w:ilvl="5" w:tplc="5B1CBBE8" w:tentative="1">
      <w:start w:val="1"/>
      <w:numFmt w:val="bullet"/>
      <w:lvlText w:val="–"/>
      <w:lvlJc w:val="left"/>
      <w:pPr>
        <w:tabs>
          <w:tab w:val="num" w:pos="3960"/>
        </w:tabs>
        <w:ind w:left="3960" w:hanging="360"/>
      </w:pPr>
      <w:rPr>
        <w:rFonts w:ascii="Ericsson Capital TT" w:hAnsi="Ericsson Capital TT" w:hint="default"/>
      </w:rPr>
    </w:lvl>
    <w:lvl w:ilvl="6" w:tplc="6B4241C2" w:tentative="1">
      <w:start w:val="1"/>
      <w:numFmt w:val="bullet"/>
      <w:lvlText w:val="–"/>
      <w:lvlJc w:val="left"/>
      <w:pPr>
        <w:tabs>
          <w:tab w:val="num" w:pos="4680"/>
        </w:tabs>
        <w:ind w:left="4680" w:hanging="360"/>
      </w:pPr>
      <w:rPr>
        <w:rFonts w:ascii="Ericsson Capital TT" w:hAnsi="Ericsson Capital TT" w:hint="default"/>
      </w:rPr>
    </w:lvl>
    <w:lvl w:ilvl="7" w:tplc="FB30E868" w:tentative="1">
      <w:start w:val="1"/>
      <w:numFmt w:val="bullet"/>
      <w:lvlText w:val="–"/>
      <w:lvlJc w:val="left"/>
      <w:pPr>
        <w:tabs>
          <w:tab w:val="num" w:pos="5400"/>
        </w:tabs>
        <w:ind w:left="5400" w:hanging="360"/>
      </w:pPr>
      <w:rPr>
        <w:rFonts w:ascii="Ericsson Capital TT" w:hAnsi="Ericsson Capital TT" w:hint="default"/>
      </w:rPr>
    </w:lvl>
    <w:lvl w:ilvl="8" w:tplc="93DA7A8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2AEA0D8B"/>
    <w:multiLevelType w:val="hybridMultilevel"/>
    <w:tmpl w:val="96409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D552B7"/>
    <w:multiLevelType w:val="hybridMultilevel"/>
    <w:tmpl w:val="D9DC8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265A26"/>
    <w:multiLevelType w:val="hybridMultilevel"/>
    <w:tmpl w:val="5066DC58"/>
    <w:lvl w:ilvl="0" w:tplc="B71AE3BE">
      <w:start w:val="1"/>
      <w:numFmt w:val="bullet"/>
      <w:lvlText w:val="•"/>
      <w:lvlJc w:val="left"/>
      <w:pPr>
        <w:tabs>
          <w:tab w:val="num" w:pos="720"/>
        </w:tabs>
        <w:ind w:left="720" w:hanging="360"/>
      </w:pPr>
      <w:rPr>
        <w:rFonts w:ascii="Arial" w:hAnsi="Arial" w:hint="default"/>
      </w:rPr>
    </w:lvl>
    <w:lvl w:ilvl="1" w:tplc="93DCC1DE" w:tentative="1">
      <w:start w:val="1"/>
      <w:numFmt w:val="bullet"/>
      <w:lvlText w:val="•"/>
      <w:lvlJc w:val="left"/>
      <w:pPr>
        <w:tabs>
          <w:tab w:val="num" w:pos="1440"/>
        </w:tabs>
        <w:ind w:left="1440" w:hanging="360"/>
      </w:pPr>
      <w:rPr>
        <w:rFonts w:ascii="Arial" w:hAnsi="Arial" w:hint="default"/>
      </w:rPr>
    </w:lvl>
    <w:lvl w:ilvl="2" w:tplc="DCBE0284">
      <w:numFmt w:val="bullet"/>
      <w:lvlText w:val="•"/>
      <w:lvlJc w:val="left"/>
      <w:pPr>
        <w:tabs>
          <w:tab w:val="num" w:pos="2160"/>
        </w:tabs>
        <w:ind w:left="2160" w:hanging="360"/>
      </w:pPr>
      <w:rPr>
        <w:rFonts w:ascii="Arial" w:hAnsi="Arial" w:hint="default"/>
      </w:rPr>
    </w:lvl>
    <w:lvl w:ilvl="3" w:tplc="C35C12E2" w:tentative="1">
      <w:start w:val="1"/>
      <w:numFmt w:val="bullet"/>
      <w:lvlText w:val="•"/>
      <w:lvlJc w:val="left"/>
      <w:pPr>
        <w:tabs>
          <w:tab w:val="num" w:pos="2880"/>
        </w:tabs>
        <w:ind w:left="2880" w:hanging="360"/>
      </w:pPr>
      <w:rPr>
        <w:rFonts w:ascii="Arial" w:hAnsi="Arial" w:hint="default"/>
      </w:rPr>
    </w:lvl>
    <w:lvl w:ilvl="4" w:tplc="C3C61112" w:tentative="1">
      <w:start w:val="1"/>
      <w:numFmt w:val="bullet"/>
      <w:lvlText w:val="•"/>
      <w:lvlJc w:val="left"/>
      <w:pPr>
        <w:tabs>
          <w:tab w:val="num" w:pos="3600"/>
        </w:tabs>
        <w:ind w:left="3600" w:hanging="360"/>
      </w:pPr>
      <w:rPr>
        <w:rFonts w:ascii="Arial" w:hAnsi="Arial" w:hint="default"/>
      </w:rPr>
    </w:lvl>
    <w:lvl w:ilvl="5" w:tplc="4B068EBC" w:tentative="1">
      <w:start w:val="1"/>
      <w:numFmt w:val="bullet"/>
      <w:lvlText w:val="•"/>
      <w:lvlJc w:val="left"/>
      <w:pPr>
        <w:tabs>
          <w:tab w:val="num" w:pos="4320"/>
        </w:tabs>
        <w:ind w:left="4320" w:hanging="360"/>
      </w:pPr>
      <w:rPr>
        <w:rFonts w:ascii="Arial" w:hAnsi="Arial" w:hint="default"/>
      </w:rPr>
    </w:lvl>
    <w:lvl w:ilvl="6" w:tplc="39F02DBA" w:tentative="1">
      <w:start w:val="1"/>
      <w:numFmt w:val="bullet"/>
      <w:lvlText w:val="•"/>
      <w:lvlJc w:val="left"/>
      <w:pPr>
        <w:tabs>
          <w:tab w:val="num" w:pos="5040"/>
        </w:tabs>
        <w:ind w:left="5040" w:hanging="360"/>
      </w:pPr>
      <w:rPr>
        <w:rFonts w:ascii="Arial" w:hAnsi="Arial" w:hint="default"/>
      </w:rPr>
    </w:lvl>
    <w:lvl w:ilvl="7" w:tplc="8E98C7C8" w:tentative="1">
      <w:start w:val="1"/>
      <w:numFmt w:val="bullet"/>
      <w:lvlText w:val="•"/>
      <w:lvlJc w:val="left"/>
      <w:pPr>
        <w:tabs>
          <w:tab w:val="num" w:pos="5760"/>
        </w:tabs>
        <w:ind w:left="5760" w:hanging="360"/>
      </w:pPr>
      <w:rPr>
        <w:rFonts w:ascii="Arial" w:hAnsi="Arial" w:hint="default"/>
      </w:rPr>
    </w:lvl>
    <w:lvl w:ilvl="8" w:tplc="F7A05C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15052"/>
    <w:multiLevelType w:val="hybridMultilevel"/>
    <w:tmpl w:val="A4D28B62"/>
    <w:lvl w:ilvl="0" w:tplc="CEAC4218">
      <w:start w:val="1"/>
      <w:numFmt w:val="bullet"/>
      <w:lvlText w:val="•"/>
      <w:lvlJc w:val="left"/>
      <w:pPr>
        <w:tabs>
          <w:tab w:val="num" w:pos="720"/>
        </w:tabs>
        <w:ind w:left="720" w:hanging="360"/>
      </w:pPr>
      <w:rPr>
        <w:rFonts w:ascii="Arial" w:hAnsi="Arial" w:hint="default"/>
      </w:rPr>
    </w:lvl>
    <w:lvl w:ilvl="1" w:tplc="E110B3EA">
      <w:start w:val="1"/>
      <w:numFmt w:val="bullet"/>
      <w:lvlText w:val="•"/>
      <w:lvlJc w:val="left"/>
      <w:pPr>
        <w:tabs>
          <w:tab w:val="num" w:pos="1440"/>
        </w:tabs>
        <w:ind w:left="1440" w:hanging="360"/>
      </w:pPr>
      <w:rPr>
        <w:rFonts w:ascii="Arial" w:hAnsi="Arial" w:hint="default"/>
      </w:rPr>
    </w:lvl>
    <w:lvl w:ilvl="2" w:tplc="CEC61DB4">
      <w:numFmt w:val="bullet"/>
      <w:lvlText w:val="•"/>
      <w:lvlJc w:val="left"/>
      <w:pPr>
        <w:tabs>
          <w:tab w:val="num" w:pos="2160"/>
        </w:tabs>
        <w:ind w:left="2160" w:hanging="360"/>
      </w:pPr>
      <w:rPr>
        <w:rFonts w:ascii="Arial" w:hAnsi="Arial" w:hint="default"/>
      </w:rPr>
    </w:lvl>
    <w:lvl w:ilvl="3" w:tplc="D7DA4396">
      <w:numFmt w:val="bullet"/>
      <w:lvlText w:val="–"/>
      <w:lvlJc w:val="left"/>
      <w:pPr>
        <w:tabs>
          <w:tab w:val="num" w:pos="2880"/>
        </w:tabs>
        <w:ind w:left="2880" w:hanging="360"/>
      </w:pPr>
      <w:rPr>
        <w:rFonts w:ascii="Arial" w:hAnsi="Arial" w:hint="default"/>
      </w:rPr>
    </w:lvl>
    <w:lvl w:ilvl="4" w:tplc="5D0C0D4E" w:tentative="1">
      <w:start w:val="1"/>
      <w:numFmt w:val="bullet"/>
      <w:lvlText w:val="•"/>
      <w:lvlJc w:val="left"/>
      <w:pPr>
        <w:tabs>
          <w:tab w:val="num" w:pos="3600"/>
        </w:tabs>
        <w:ind w:left="3600" w:hanging="360"/>
      </w:pPr>
      <w:rPr>
        <w:rFonts w:ascii="Arial" w:hAnsi="Arial" w:hint="default"/>
      </w:rPr>
    </w:lvl>
    <w:lvl w:ilvl="5" w:tplc="AE6278C2" w:tentative="1">
      <w:start w:val="1"/>
      <w:numFmt w:val="bullet"/>
      <w:lvlText w:val="•"/>
      <w:lvlJc w:val="left"/>
      <w:pPr>
        <w:tabs>
          <w:tab w:val="num" w:pos="4320"/>
        </w:tabs>
        <w:ind w:left="4320" w:hanging="360"/>
      </w:pPr>
      <w:rPr>
        <w:rFonts w:ascii="Arial" w:hAnsi="Arial" w:hint="default"/>
      </w:rPr>
    </w:lvl>
    <w:lvl w:ilvl="6" w:tplc="4F144244" w:tentative="1">
      <w:start w:val="1"/>
      <w:numFmt w:val="bullet"/>
      <w:lvlText w:val="•"/>
      <w:lvlJc w:val="left"/>
      <w:pPr>
        <w:tabs>
          <w:tab w:val="num" w:pos="5040"/>
        </w:tabs>
        <w:ind w:left="5040" w:hanging="360"/>
      </w:pPr>
      <w:rPr>
        <w:rFonts w:ascii="Arial" w:hAnsi="Arial" w:hint="default"/>
      </w:rPr>
    </w:lvl>
    <w:lvl w:ilvl="7" w:tplc="8FD086B2" w:tentative="1">
      <w:start w:val="1"/>
      <w:numFmt w:val="bullet"/>
      <w:lvlText w:val="•"/>
      <w:lvlJc w:val="left"/>
      <w:pPr>
        <w:tabs>
          <w:tab w:val="num" w:pos="5760"/>
        </w:tabs>
        <w:ind w:left="5760" w:hanging="360"/>
      </w:pPr>
      <w:rPr>
        <w:rFonts w:ascii="Arial" w:hAnsi="Arial" w:hint="default"/>
      </w:rPr>
    </w:lvl>
    <w:lvl w:ilvl="8" w:tplc="FDF683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BF45EA"/>
    <w:multiLevelType w:val="hybridMultilevel"/>
    <w:tmpl w:val="D9FC5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9F47D39"/>
    <w:multiLevelType w:val="hybridMultilevel"/>
    <w:tmpl w:val="8FF29884"/>
    <w:lvl w:ilvl="0" w:tplc="8152AF90">
      <w:start w:val="1"/>
      <w:numFmt w:val="bullet"/>
      <w:lvlText w:val=""/>
      <w:lvlJc w:val="left"/>
      <w:pPr>
        <w:tabs>
          <w:tab w:val="num" w:pos="360"/>
        </w:tabs>
        <w:ind w:left="360" w:hanging="360"/>
      </w:pPr>
      <w:rPr>
        <w:rFonts w:ascii="Symbol" w:hAnsi="Symbol" w:hint="default"/>
      </w:rPr>
    </w:lvl>
    <w:lvl w:ilvl="1" w:tplc="DB283AAC">
      <w:numFmt w:val="bullet"/>
      <w:lvlText w:val="o"/>
      <w:lvlJc w:val="left"/>
      <w:pPr>
        <w:tabs>
          <w:tab w:val="num" w:pos="1080"/>
        </w:tabs>
        <w:ind w:left="1080" w:hanging="360"/>
      </w:pPr>
      <w:rPr>
        <w:rFonts w:ascii="Courier New" w:hAnsi="Courier New" w:hint="default"/>
      </w:rPr>
    </w:lvl>
    <w:lvl w:ilvl="2" w:tplc="54CEE8F0">
      <w:numFmt w:val="bullet"/>
      <w:lvlText w:val=""/>
      <w:lvlJc w:val="left"/>
      <w:pPr>
        <w:tabs>
          <w:tab w:val="num" w:pos="1800"/>
        </w:tabs>
        <w:ind w:left="1800" w:hanging="360"/>
      </w:pPr>
      <w:rPr>
        <w:rFonts w:ascii="Wingdings" w:hAnsi="Wingdings" w:hint="default"/>
      </w:rPr>
    </w:lvl>
    <w:lvl w:ilvl="3" w:tplc="C728025E">
      <w:start w:val="1"/>
      <w:numFmt w:val="bullet"/>
      <w:lvlText w:val=""/>
      <w:lvlJc w:val="left"/>
      <w:pPr>
        <w:tabs>
          <w:tab w:val="num" w:pos="2520"/>
        </w:tabs>
        <w:ind w:left="2520" w:hanging="360"/>
      </w:pPr>
      <w:rPr>
        <w:rFonts w:ascii="Symbol" w:hAnsi="Symbol" w:hint="default"/>
      </w:rPr>
    </w:lvl>
    <w:lvl w:ilvl="4" w:tplc="16EC9FCE" w:tentative="1">
      <w:start w:val="1"/>
      <w:numFmt w:val="bullet"/>
      <w:lvlText w:val=""/>
      <w:lvlJc w:val="left"/>
      <w:pPr>
        <w:tabs>
          <w:tab w:val="num" w:pos="3240"/>
        </w:tabs>
        <w:ind w:left="3240" w:hanging="360"/>
      </w:pPr>
      <w:rPr>
        <w:rFonts w:ascii="Symbol" w:hAnsi="Symbol" w:hint="default"/>
      </w:rPr>
    </w:lvl>
    <w:lvl w:ilvl="5" w:tplc="434E704A" w:tentative="1">
      <w:start w:val="1"/>
      <w:numFmt w:val="bullet"/>
      <w:lvlText w:val=""/>
      <w:lvlJc w:val="left"/>
      <w:pPr>
        <w:tabs>
          <w:tab w:val="num" w:pos="3960"/>
        </w:tabs>
        <w:ind w:left="3960" w:hanging="360"/>
      </w:pPr>
      <w:rPr>
        <w:rFonts w:ascii="Symbol" w:hAnsi="Symbol" w:hint="default"/>
      </w:rPr>
    </w:lvl>
    <w:lvl w:ilvl="6" w:tplc="2760130C" w:tentative="1">
      <w:start w:val="1"/>
      <w:numFmt w:val="bullet"/>
      <w:lvlText w:val=""/>
      <w:lvlJc w:val="left"/>
      <w:pPr>
        <w:tabs>
          <w:tab w:val="num" w:pos="4680"/>
        </w:tabs>
        <w:ind w:left="4680" w:hanging="360"/>
      </w:pPr>
      <w:rPr>
        <w:rFonts w:ascii="Symbol" w:hAnsi="Symbol" w:hint="default"/>
      </w:rPr>
    </w:lvl>
    <w:lvl w:ilvl="7" w:tplc="163A0654" w:tentative="1">
      <w:start w:val="1"/>
      <w:numFmt w:val="bullet"/>
      <w:lvlText w:val=""/>
      <w:lvlJc w:val="left"/>
      <w:pPr>
        <w:tabs>
          <w:tab w:val="num" w:pos="5400"/>
        </w:tabs>
        <w:ind w:left="5400" w:hanging="360"/>
      </w:pPr>
      <w:rPr>
        <w:rFonts w:ascii="Symbol" w:hAnsi="Symbol" w:hint="default"/>
      </w:rPr>
    </w:lvl>
    <w:lvl w:ilvl="8" w:tplc="2D8A7454"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541B5"/>
    <w:multiLevelType w:val="hybridMultilevel"/>
    <w:tmpl w:val="0CE02DC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20"/>
  </w:num>
  <w:num w:numId="4">
    <w:abstractNumId w:val="21"/>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18"/>
  </w:num>
  <w:num w:numId="15">
    <w:abstractNumId w:val="19"/>
  </w:num>
  <w:num w:numId="16">
    <w:abstractNumId w:val="7"/>
  </w:num>
  <w:num w:numId="17">
    <w:abstractNumId w:val="6"/>
  </w:num>
  <w:num w:numId="18">
    <w:abstractNumId w:val="5"/>
  </w:num>
  <w:num w:numId="19">
    <w:abstractNumId w:val="31"/>
  </w:num>
  <w:num w:numId="20">
    <w:abstractNumId w:val="24"/>
  </w:num>
  <w:num w:numId="21">
    <w:abstractNumId w:val="34"/>
  </w:num>
  <w:num w:numId="22">
    <w:abstractNumId w:val="4"/>
  </w:num>
  <w:num w:numId="23">
    <w:abstractNumId w:val="30"/>
  </w:num>
  <w:num w:numId="24">
    <w:abstractNumId w:val="33"/>
  </w:num>
  <w:num w:numId="25">
    <w:abstractNumId w:val="9"/>
  </w:num>
  <w:num w:numId="26">
    <w:abstractNumId w:val="32"/>
  </w:num>
  <w:num w:numId="27">
    <w:abstractNumId w:val="29"/>
  </w:num>
  <w:num w:numId="28">
    <w:abstractNumId w:val="17"/>
  </w:num>
  <w:num w:numId="29">
    <w:abstractNumId w:val="10"/>
  </w:num>
  <w:num w:numId="30">
    <w:abstractNumId w:val="26"/>
  </w:num>
  <w:num w:numId="31">
    <w:abstractNumId w:val="11"/>
  </w:num>
  <w:num w:numId="32">
    <w:abstractNumId w:val="28"/>
  </w:num>
  <w:num w:numId="33">
    <w:abstractNumId w:val="8"/>
  </w:num>
  <w:num w:numId="34">
    <w:abstractNumId w:val="14"/>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193"/>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0A06"/>
    <w:rsid w:val="00071AB3"/>
    <w:rsid w:val="000736AC"/>
    <w:rsid w:val="00077E5F"/>
    <w:rsid w:val="0008036A"/>
    <w:rsid w:val="00081AE6"/>
    <w:rsid w:val="000855EB"/>
    <w:rsid w:val="00085B52"/>
    <w:rsid w:val="000866F2"/>
    <w:rsid w:val="00086B54"/>
    <w:rsid w:val="0009009F"/>
    <w:rsid w:val="00091557"/>
    <w:rsid w:val="000924C1"/>
    <w:rsid w:val="000924F0"/>
    <w:rsid w:val="00093474"/>
    <w:rsid w:val="0009510F"/>
    <w:rsid w:val="000A1B7B"/>
    <w:rsid w:val="000A3643"/>
    <w:rsid w:val="000A56F2"/>
    <w:rsid w:val="000B2719"/>
    <w:rsid w:val="000B3A3A"/>
    <w:rsid w:val="000B3A8F"/>
    <w:rsid w:val="000B4AB9"/>
    <w:rsid w:val="000B58C3"/>
    <w:rsid w:val="000B61E9"/>
    <w:rsid w:val="000C165A"/>
    <w:rsid w:val="000C2E19"/>
    <w:rsid w:val="000C4C24"/>
    <w:rsid w:val="000C67C8"/>
    <w:rsid w:val="000D0D07"/>
    <w:rsid w:val="000D4797"/>
    <w:rsid w:val="000E0527"/>
    <w:rsid w:val="000E176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67679"/>
    <w:rsid w:val="00173A8E"/>
    <w:rsid w:val="0018143F"/>
    <w:rsid w:val="0018723E"/>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4BEF"/>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2E6"/>
    <w:rsid w:val="00292EB7"/>
    <w:rsid w:val="00294B1A"/>
    <w:rsid w:val="00296227"/>
    <w:rsid w:val="00296F44"/>
    <w:rsid w:val="0029777D"/>
    <w:rsid w:val="002A055E"/>
    <w:rsid w:val="002A1D4E"/>
    <w:rsid w:val="002A2869"/>
    <w:rsid w:val="002B24D6"/>
    <w:rsid w:val="002C41E6"/>
    <w:rsid w:val="002D071A"/>
    <w:rsid w:val="002D34B2"/>
    <w:rsid w:val="002D7637"/>
    <w:rsid w:val="002E17F2"/>
    <w:rsid w:val="002E55D7"/>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0213"/>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3F6B"/>
    <w:rsid w:val="004242F4"/>
    <w:rsid w:val="0042588E"/>
    <w:rsid w:val="00427248"/>
    <w:rsid w:val="004315C9"/>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96C88"/>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5213"/>
    <w:rsid w:val="00506557"/>
    <w:rsid w:val="0050677A"/>
    <w:rsid w:val="005108D8"/>
    <w:rsid w:val="005116F9"/>
    <w:rsid w:val="0051511E"/>
    <w:rsid w:val="005153A7"/>
    <w:rsid w:val="005219CF"/>
    <w:rsid w:val="00531E3D"/>
    <w:rsid w:val="00534B59"/>
    <w:rsid w:val="00536759"/>
    <w:rsid w:val="00537C62"/>
    <w:rsid w:val="00546970"/>
    <w:rsid w:val="00554192"/>
    <w:rsid w:val="00554A9F"/>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E7CBE"/>
    <w:rsid w:val="005F2A53"/>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B1D"/>
    <w:rsid w:val="00636398"/>
    <w:rsid w:val="006368D3"/>
    <w:rsid w:val="006377EC"/>
    <w:rsid w:val="00637D92"/>
    <w:rsid w:val="0064151F"/>
    <w:rsid w:val="00641533"/>
    <w:rsid w:val="0064208D"/>
    <w:rsid w:val="00643475"/>
    <w:rsid w:val="0064396A"/>
    <w:rsid w:val="006448CA"/>
    <w:rsid w:val="0064624E"/>
    <w:rsid w:val="00650AB9"/>
    <w:rsid w:val="00655733"/>
    <w:rsid w:val="00655ACD"/>
    <w:rsid w:val="00656A92"/>
    <w:rsid w:val="00656DDE"/>
    <w:rsid w:val="0066011D"/>
    <w:rsid w:val="006607C0"/>
    <w:rsid w:val="006613A6"/>
    <w:rsid w:val="006627A2"/>
    <w:rsid w:val="006634E6"/>
    <w:rsid w:val="006655EE"/>
    <w:rsid w:val="00667695"/>
    <w:rsid w:val="00667EE7"/>
    <w:rsid w:val="00670922"/>
    <w:rsid w:val="00670BE1"/>
    <w:rsid w:val="0067218F"/>
    <w:rsid w:val="006741F2"/>
    <w:rsid w:val="00674CC3"/>
    <w:rsid w:val="00675C72"/>
    <w:rsid w:val="006771F9"/>
    <w:rsid w:val="006776D7"/>
    <w:rsid w:val="00681003"/>
    <w:rsid w:val="006817C9"/>
    <w:rsid w:val="00681984"/>
    <w:rsid w:val="00683ECE"/>
    <w:rsid w:val="00684AB8"/>
    <w:rsid w:val="00687317"/>
    <w:rsid w:val="00695FC2"/>
    <w:rsid w:val="00696949"/>
    <w:rsid w:val="00697052"/>
    <w:rsid w:val="006A46FB"/>
    <w:rsid w:val="006A4F94"/>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231B"/>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56A4"/>
    <w:rsid w:val="00747D8B"/>
    <w:rsid w:val="00751228"/>
    <w:rsid w:val="00753C48"/>
    <w:rsid w:val="007571E1"/>
    <w:rsid w:val="007604B2"/>
    <w:rsid w:val="00765281"/>
    <w:rsid w:val="00766BAD"/>
    <w:rsid w:val="007679B0"/>
    <w:rsid w:val="007755F2"/>
    <w:rsid w:val="00776971"/>
    <w:rsid w:val="00777D37"/>
    <w:rsid w:val="0078177E"/>
    <w:rsid w:val="0078304C"/>
    <w:rsid w:val="00783673"/>
    <w:rsid w:val="00785490"/>
    <w:rsid w:val="00786A90"/>
    <w:rsid w:val="00790B99"/>
    <w:rsid w:val="007925EA"/>
    <w:rsid w:val="00793CD8"/>
    <w:rsid w:val="00795C92"/>
    <w:rsid w:val="00796231"/>
    <w:rsid w:val="007A1CB3"/>
    <w:rsid w:val="007A306F"/>
    <w:rsid w:val="007A4356"/>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390E"/>
    <w:rsid w:val="007D5901"/>
    <w:rsid w:val="007D7526"/>
    <w:rsid w:val="007D7893"/>
    <w:rsid w:val="007E4610"/>
    <w:rsid w:val="007E4715"/>
    <w:rsid w:val="007E505B"/>
    <w:rsid w:val="007E7091"/>
    <w:rsid w:val="007F7526"/>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13AD"/>
    <w:rsid w:val="00856911"/>
    <w:rsid w:val="008677FD"/>
    <w:rsid w:val="008706D4"/>
    <w:rsid w:val="00870F8A"/>
    <w:rsid w:val="008719A4"/>
    <w:rsid w:val="00871D23"/>
    <w:rsid w:val="00874312"/>
    <w:rsid w:val="0087437C"/>
    <w:rsid w:val="00875CD7"/>
    <w:rsid w:val="00876B4D"/>
    <w:rsid w:val="00877F18"/>
    <w:rsid w:val="00894A88"/>
    <w:rsid w:val="00895386"/>
    <w:rsid w:val="00897A22"/>
    <w:rsid w:val="008A21FF"/>
    <w:rsid w:val="008A2CE2"/>
    <w:rsid w:val="008A30AC"/>
    <w:rsid w:val="008A44B8"/>
    <w:rsid w:val="008A51A8"/>
    <w:rsid w:val="008A54C7"/>
    <w:rsid w:val="008A77D8"/>
    <w:rsid w:val="008B0483"/>
    <w:rsid w:val="008B120C"/>
    <w:rsid w:val="008B51A0"/>
    <w:rsid w:val="008B592A"/>
    <w:rsid w:val="008B6E61"/>
    <w:rsid w:val="008B7B5C"/>
    <w:rsid w:val="008C0C99"/>
    <w:rsid w:val="008C2017"/>
    <w:rsid w:val="008C404C"/>
    <w:rsid w:val="008C4958"/>
    <w:rsid w:val="008C4BAA"/>
    <w:rsid w:val="008C6AE8"/>
    <w:rsid w:val="008C7573"/>
    <w:rsid w:val="008D0EAB"/>
    <w:rsid w:val="008D34F1"/>
    <w:rsid w:val="008D39D8"/>
    <w:rsid w:val="008D6D1A"/>
    <w:rsid w:val="008E065E"/>
    <w:rsid w:val="008E0927"/>
    <w:rsid w:val="008E1909"/>
    <w:rsid w:val="008E530A"/>
    <w:rsid w:val="008F1EAB"/>
    <w:rsid w:val="008F2423"/>
    <w:rsid w:val="008F2DA2"/>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78A"/>
    <w:rsid w:val="00931BD9"/>
    <w:rsid w:val="00935739"/>
    <w:rsid w:val="009368F3"/>
    <w:rsid w:val="00940B78"/>
    <w:rsid w:val="00941636"/>
    <w:rsid w:val="00943742"/>
    <w:rsid w:val="00945C05"/>
    <w:rsid w:val="00945DBB"/>
    <w:rsid w:val="00946945"/>
    <w:rsid w:val="00947713"/>
    <w:rsid w:val="00950DE7"/>
    <w:rsid w:val="00952A24"/>
    <w:rsid w:val="00953920"/>
    <w:rsid w:val="00953D47"/>
    <w:rsid w:val="0095681E"/>
    <w:rsid w:val="009572D4"/>
    <w:rsid w:val="00960702"/>
    <w:rsid w:val="00961921"/>
    <w:rsid w:val="0096430A"/>
    <w:rsid w:val="0096554B"/>
    <w:rsid w:val="0096584A"/>
    <w:rsid w:val="009709D5"/>
    <w:rsid w:val="00971F08"/>
    <w:rsid w:val="0097493A"/>
    <w:rsid w:val="0097506D"/>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3AC9"/>
    <w:rsid w:val="00A031D8"/>
    <w:rsid w:val="00A048A8"/>
    <w:rsid w:val="00A04F49"/>
    <w:rsid w:val="00A1353E"/>
    <w:rsid w:val="00A13E54"/>
    <w:rsid w:val="00A15745"/>
    <w:rsid w:val="00A17F63"/>
    <w:rsid w:val="00A2193B"/>
    <w:rsid w:val="00A2351A"/>
    <w:rsid w:val="00A264A9"/>
    <w:rsid w:val="00A27785"/>
    <w:rsid w:val="00A30187"/>
    <w:rsid w:val="00A32F8D"/>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332"/>
    <w:rsid w:val="00A85C6C"/>
    <w:rsid w:val="00A85EF6"/>
    <w:rsid w:val="00A92879"/>
    <w:rsid w:val="00A9442A"/>
    <w:rsid w:val="00A96866"/>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0FB6"/>
    <w:rsid w:val="00B2763F"/>
    <w:rsid w:val="00B27AAC"/>
    <w:rsid w:val="00B30929"/>
    <w:rsid w:val="00B35A21"/>
    <w:rsid w:val="00B372AA"/>
    <w:rsid w:val="00B40445"/>
    <w:rsid w:val="00B41888"/>
    <w:rsid w:val="00B45A52"/>
    <w:rsid w:val="00B46175"/>
    <w:rsid w:val="00B664C7"/>
    <w:rsid w:val="00B6664C"/>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34FB"/>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4995"/>
    <w:rsid w:val="00C54D41"/>
    <w:rsid w:val="00C56CDB"/>
    <w:rsid w:val="00C60783"/>
    <w:rsid w:val="00C64672"/>
    <w:rsid w:val="00C6685C"/>
    <w:rsid w:val="00C67D3D"/>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06B63"/>
    <w:rsid w:val="00D10249"/>
    <w:rsid w:val="00D115C3"/>
    <w:rsid w:val="00D11897"/>
    <w:rsid w:val="00D13135"/>
    <w:rsid w:val="00D13E4E"/>
    <w:rsid w:val="00D239A7"/>
    <w:rsid w:val="00D23F47"/>
    <w:rsid w:val="00D36E71"/>
    <w:rsid w:val="00D37D87"/>
    <w:rsid w:val="00D40B33"/>
    <w:rsid w:val="00D4318F"/>
    <w:rsid w:val="00D438BF"/>
    <w:rsid w:val="00D43D09"/>
    <w:rsid w:val="00D440F8"/>
    <w:rsid w:val="00D52454"/>
    <w:rsid w:val="00D546FF"/>
    <w:rsid w:val="00D55AD5"/>
    <w:rsid w:val="00D576CA"/>
    <w:rsid w:val="00D61AF5"/>
    <w:rsid w:val="00D652B5"/>
    <w:rsid w:val="00D66155"/>
    <w:rsid w:val="00D708B0"/>
    <w:rsid w:val="00D72D76"/>
    <w:rsid w:val="00D77B1D"/>
    <w:rsid w:val="00D8021F"/>
    <w:rsid w:val="00D80383"/>
    <w:rsid w:val="00D823C6"/>
    <w:rsid w:val="00D86CA3"/>
    <w:rsid w:val="00D871CE"/>
    <w:rsid w:val="00D9196D"/>
    <w:rsid w:val="00D92982"/>
    <w:rsid w:val="00DA305E"/>
    <w:rsid w:val="00DA5417"/>
    <w:rsid w:val="00DA56E8"/>
    <w:rsid w:val="00DB0A9F"/>
    <w:rsid w:val="00DB377D"/>
    <w:rsid w:val="00DB4838"/>
    <w:rsid w:val="00DC2639"/>
    <w:rsid w:val="00DC2D36"/>
    <w:rsid w:val="00DC53EF"/>
    <w:rsid w:val="00DD2602"/>
    <w:rsid w:val="00DE0554"/>
    <w:rsid w:val="00DE2230"/>
    <w:rsid w:val="00DE5608"/>
    <w:rsid w:val="00DE58D0"/>
    <w:rsid w:val="00DE654F"/>
    <w:rsid w:val="00DF0B6E"/>
    <w:rsid w:val="00DF15E0"/>
    <w:rsid w:val="00DF1EC4"/>
    <w:rsid w:val="00DF37A0"/>
    <w:rsid w:val="00DF4910"/>
    <w:rsid w:val="00E110E7"/>
    <w:rsid w:val="00E11B20"/>
    <w:rsid w:val="00E17FA2"/>
    <w:rsid w:val="00E2025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7E5"/>
    <w:rsid w:val="00F06C67"/>
    <w:rsid w:val="00F06DFD"/>
    <w:rsid w:val="00F071D1"/>
    <w:rsid w:val="00F07533"/>
    <w:rsid w:val="00F10629"/>
    <w:rsid w:val="00F15FA5"/>
    <w:rsid w:val="00F209B7"/>
    <w:rsid w:val="00F2376F"/>
    <w:rsid w:val="00F243D8"/>
    <w:rsid w:val="00F26789"/>
    <w:rsid w:val="00F30828"/>
    <w:rsid w:val="00F313D6"/>
    <w:rsid w:val="00F40F0C"/>
    <w:rsid w:val="00F4766C"/>
    <w:rsid w:val="00F5060E"/>
    <w:rsid w:val="00F507D1"/>
    <w:rsid w:val="00F519CE"/>
    <w:rsid w:val="00F51ADA"/>
    <w:rsid w:val="00F55BC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07E"/>
    <w:rsid w:val="00FB6A6A"/>
    <w:rsid w:val="00FC7429"/>
    <w:rsid w:val="00FD02F0"/>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AN1bullet1">
    <w:name w:val="RAN1 bullet1"/>
    <w:basedOn w:val="Normal"/>
    <w:link w:val="RAN1bullet1Char"/>
    <w:qFormat/>
    <w:rsid w:val="00FD02F0"/>
    <w:pPr>
      <w:numPr>
        <w:numId w:val="18"/>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FD02F0"/>
    <w:rPr>
      <w:rFonts w:ascii="Times" w:eastAsia="Batang" w:hAnsi="Times"/>
      <w:szCs w:val="24"/>
      <w:lang w:val="en-GB" w:eastAsia="x-none"/>
    </w:rPr>
  </w:style>
  <w:style w:type="paragraph" w:customStyle="1" w:styleId="RAN1bullet2">
    <w:name w:val="RAN1 bullet2"/>
    <w:basedOn w:val="Normal"/>
    <w:link w:val="RAN1bullet2Char"/>
    <w:qFormat/>
    <w:rsid w:val="00FD02F0"/>
    <w:pPr>
      <w:numPr>
        <w:ilvl w:val="1"/>
        <w:numId w:val="22"/>
      </w:numPr>
      <w:tabs>
        <w:tab w:val="left" w:pos="1440"/>
      </w:tabs>
      <w:overflowPunct/>
      <w:autoSpaceDE/>
      <w:autoSpaceDN/>
      <w:adjustRightInd/>
      <w:spacing w:after="0"/>
      <w:jc w:val="left"/>
      <w:textAlignment w:val="auto"/>
    </w:pPr>
    <w:rPr>
      <w:rFonts w:ascii="Times" w:eastAsia="Batang" w:hAnsi="Times"/>
      <w:lang w:val="en-US" w:eastAsia="en-US"/>
    </w:rPr>
  </w:style>
  <w:style w:type="paragraph" w:customStyle="1" w:styleId="RAN1bullet3">
    <w:name w:val="RAN1 bullet3"/>
    <w:basedOn w:val="RAN1bullet2"/>
    <w:link w:val="RAN1bullet3Char"/>
    <w:qFormat/>
    <w:rsid w:val="00FD02F0"/>
    <w:pPr>
      <w:numPr>
        <w:ilvl w:val="2"/>
        <w:numId w:val="21"/>
      </w:numPr>
    </w:pPr>
  </w:style>
  <w:style w:type="character" w:customStyle="1" w:styleId="RAN1bullet2Char">
    <w:name w:val="RAN1 bullet2 Char"/>
    <w:link w:val="RAN1bullet2"/>
    <w:rsid w:val="00FD02F0"/>
    <w:rPr>
      <w:rFonts w:ascii="Times" w:eastAsia="Batang" w:hAnsi="Times"/>
    </w:rPr>
  </w:style>
  <w:style w:type="character" w:customStyle="1" w:styleId="RAN1bullet3Char">
    <w:name w:val="RAN1 bullet3 Char"/>
    <w:link w:val="RAN1bullet3"/>
    <w:rsid w:val="00FD02F0"/>
    <w:rPr>
      <w:rFonts w:ascii="Times" w:eastAsia="Batang" w:hAnsi="Times"/>
    </w:rPr>
  </w:style>
  <w:style w:type="paragraph" w:customStyle="1" w:styleId="RAN1text">
    <w:name w:val="RAN1 text"/>
    <w:basedOn w:val="BodyText"/>
    <w:link w:val="RAN1textChar"/>
    <w:qFormat/>
    <w:rsid w:val="00FD02F0"/>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FD02F0"/>
    <w:rPr>
      <w:rFonts w:ascii="Times New Roman" w:eastAsia="MS Mincho" w:hAnsi="Times New Roman"/>
      <w:szCs w:val="24"/>
      <w:lang w:val="x-none" w:eastAsia="x-none"/>
    </w:rPr>
  </w:style>
  <w:style w:type="character" w:styleId="PlaceholderText">
    <w:name w:val="Placeholder Text"/>
    <w:basedOn w:val="DefaultParagraphFont"/>
    <w:uiPriority w:val="99"/>
    <w:semiHidden/>
    <w:rsid w:val="00B35A21"/>
    <w:rPr>
      <w:color w:val="808080"/>
    </w:rPr>
  </w:style>
  <w:style w:type="character" w:customStyle="1" w:styleId="PLChar">
    <w:name w:val="PL Char"/>
    <w:basedOn w:val="DefaultParagraphFont"/>
    <w:link w:val="PL"/>
    <w:locked/>
    <w:rsid w:val="00FB607E"/>
    <w:rPr>
      <w:rFonts w:ascii="Courier New" w:hAnsi="Courier New" w:cs="Courier New"/>
      <w:shd w:val="clear" w:color="auto" w:fill="E6E6E6"/>
      <w:lang w:eastAsia="sv-SE"/>
    </w:rPr>
  </w:style>
  <w:style w:type="paragraph" w:customStyle="1" w:styleId="PL">
    <w:name w:val="PL"/>
    <w:basedOn w:val="Normal"/>
    <w:link w:val="PLChar"/>
    <w:rsid w:val="00FB607E"/>
    <w:pPr>
      <w:shd w:val="clear" w:color="auto" w:fill="E6E6E6"/>
      <w:overflowPunct/>
      <w:autoSpaceDE/>
      <w:autoSpaceDN/>
      <w:adjustRightInd/>
      <w:spacing w:after="0"/>
      <w:jc w:val="left"/>
      <w:textAlignment w:val="auto"/>
    </w:pPr>
    <w:rPr>
      <w:rFonts w:ascii="Courier New" w:hAnsi="Courier New" w:cs="Courier New"/>
      <w:lang w:val="en-US" w:eastAsia="sv-SE"/>
    </w:rPr>
  </w:style>
  <w:style w:type="table" w:styleId="TableGrid">
    <w:name w:val="Table Grid"/>
    <w:basedOn w:val="TableNormal"/>
    <w:rsid w:val="00531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531E3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459945">
      <w:bodyDiv w:val="1"/>
      <w:marLeft w:val="0"/>
      <w:marRight w:val="0"/>
      <w:marTop w:val="0"/>
      <w:marBottom w:val="0"/>
      <w:divBdr>
        <w:top w:val="none" w:sz="0" w:space="0" w:color="auto"/>
        <w:left w:val="none" w:sz="0" w:space="0" w:color="auto"/>
        <w:bottom w:val="none" w:sz="0" w:space="0" w:color="auto"/>
        <w:right w:val="none" w:sz="0" w:space="0" w:color="auto"/>
      </w:divBdr>
    </w:div>
    <w:div w:id="380326778">
      <w:bodyDiv w:val="1"/>
      <w:marLeft w:val="0"/>
      <w:marRight w:val="0"/>
      <w:marTop w:val="0"/>
      <w:marBottom w:val="0"/>
      <w:divBdr>
        <w:top w:val="none" w:sz="0" w:space="0" w:color="auto"/>
        <w:left w:val="none" w:sz="0" w:space="0" w:color="auto"/>
        <w:bottom w:val="none" w:sz="0" w:space="0" w:color="auto"/>
        <w:right w:val="none" w:sz="0" w:space="0" w:color="auto"/>
      </w:divBdr>
    </w:div>
    <w:div w:id="737635978">
      <w:bodyDiv w:val="1"/>
      <w:marLeft w:val="0"/>
      <w:marRight w:val="0"/>
      <w:marTop w:val="0"/>
      <w:marBottom w:val="0"/>
      <w:divBdr>
        <w:top w:val="none" w:sz="0" w:space="0" w:color="auto"/>
        <w:left w:val="none" w:sz="0" w:space="0" w:color="auto"/>
        <w:bottom w:val="none" w:sz="0" w:space="0" w:color="auto"/>
        <w:right w:val="none" w:sz="0" w:space="0" w:color="auto"/>
      </w:divBdr>
      <w:divsChild>
        <w:div w:id="819690660">
          <w:marLeft w:val="360"/>
          <w:marRight w:val="0"/>
          <w:marTop w:val="0"/>
          <w:marBottom w:val="0"/>
          <w:divBdr>
            <w:top w:val="none" w:sz="0" w:space="0" w:color="auto"/>
            <w:left w:val="none" w:sz="0" w:space="0" w:color="auto"/>
            <w:bottom w:val="none" w:sz="0" w:space="0" w:color="auto"/>
            <w:right w:val="none" w:sz="0" w:space="0" w:color="auto"/>
          </w:divBdr>
        </w:div>
        <w:div w:id="1981228556">
          <w:marLeft w:val="1800"/>
          <w:marRight w:val="0"/>
          <w:marTop w:val="0"/>
          <w:marBottom w:val="0"/>
          <w:divBdr>
            <w:top w:val="none" w:sz="0" w:space="0" w:color="auto"/>
            <w:left w:val="none" w:sz="0" w:space="0" w:color="auto"/>
            <w:bottom w:val="none" w:sz="0" w:space="0" w:color="auto"/>
            <w:right w:val="none" w:sz="0" w:space="0" w:color="auto"/>
          </w:divBdr>
        </w:div>
      </w:divsChild>
    </w:div>
    <w:div w:id="1556114108">
      <w:bodyDiv w:val="1"/>
      <w:marLeft w:val="0"/>
      <w:marRight w:val="0"/>
      <w:marTop w:val="0"/>
      <w:marBottom w:val="0"/>
      <w:divBdr>
        <w:top w:val="none" w:sz="0" w:space="0" w:color="auto"/>
        <w:left w:val="none" w:sz="0" w:space="0" w:color="auto"/>
        <w:bottom w:val="none" w:sz="0" w:space="0" w:color="auto"/>
        <w:right w:val="none" w:sz="0" w:space="0" w:color="auto"/>
      </w:divBdr>
      <w:divsChild>
        <w:div w:id="1076585665">
          <w:marLeft w:val="835"/>
          <w:marRight w:val="0"/>
          <w:marTop w:val="58"/>
          <w:marBottom w:val="0"/>
          <w:divBdr>
            <w:top w:val="none" w:sz="0" w:space="0" w:color="auto"/>
            <w:left w:val="none" w:sz="0" w:space="0" w:color="auto"/>
            <w:bottom w:val="none" w:sz="0" w:space="0" w:color="auto"/>
            <w:right w:val="none" w:sz="0" w:space="0" w:color="auto"/>
          </w:divBdr>
        </w:div>
      </w:divsChild>
    </w:div>
    <w:div w:id="207894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8366C-8B55-4ACF-AAB8-75653B88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3752</Words>
  <Characters>21392</Characters>
  <Application>Microsoft Office Word</Application>
  <DocSecurity>0</DocSecurity>
  <Lines>178</Lines>
  <Paragraphs>50</Paragraphs>
  <ScaleCrop>false</ScaleCrop>
  <Company/>
  <LinksUpToDate>false</LinksUpToDate>
  <CharactersWithSpaces>25094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2017-11-17T22:53:00Z</dcterms:created>
  <dcterms:modified xsi:type="dcterms:W3CDTF">2017-11-17T22:53:00Z</dcterms:modified>
</cp:coreProperties>
</file>